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21B1" w14:textId="4DA484BB" w:rsidR="00627A37" w:rsidRPr="00880CDA" w:rsidRDefault="007F2881" w:rsidP="007F2881">
      <w:pPr>
        <w:jc w:val="center"/>
        <w:rPr>
          <w:b/>
          <w:bCs/>
          <w:u w:val="single"/>
        </w:rPr>
      </w:pPr>
      <w:r w:rsidRPr="00880CDA">
        <w:rPr>
          <w:b/>
          <w:bCs/>
          <w:u w:val="single"/>
        </w:rPr>
        <w:t xml:space="preserve">Briefing for Local </w:t>
      </w:r>
      <w:r w:rsidR="005273EC">
        <w:rPr>
          <w:b/>
          <w:bCs/>
          <w:u w:val="single"/>
        </w:rPr>
        <w:t xml:space="preserve">Authorities and local partners </w:t>
      </w:r>
      <w:r w:rsidRPr="00880CDA">
        <w:rPr>
          <w:b/>
          <w:bCs/>
          <w:u w:val="single"/>
        </w:rPr>
        <w:t xml:space="preserve">- Designated Settings Indemnity Support </w:t>
      </w:r>
    </w:p>
    <w:p w14:paraId="7E180C22" w14:textId="2AF448D4" w:rsidR="009A09EB" w:rsidRDefault="00B63F39">
      <w:r w:rsidRPr="00880CDA">
        <w:t xml:space="preserve">We are </w:t>
      </w:r>
      <w:r w:rsidR="00391751" w:rsidRPr="00880CDA">
        <w:t>writing to outline</w:t>
      </w:r>
      <w:r w:rsidR="00081E29" w:rsidRPr="00880CDA">
        <w:t xml:space="preserve"> details</w:t>
      </w:r>
      <w:r w:rsidR="00391751" w:rsidRPr="00880CDA">
        <w:t xml:space="preserve"> </w:t>
      </w:r>
      <w:r w:rsidR="00EE0AF0" w:rsidRPr="00880CDA">
        <w:t>of</w:t>
      </w:r>
      <w:r w:rsidR="00391751" w:rsidRPr="00880CDA">
        <w:t xml:space="preserve"> the newly launched indemnity </w:t>
      </w:r>
      <w:r w:rsidR="00081E29" w:rsidRPr="00880CDA">
        <w:t xml:space="preserve">support </w:t>
      </w:r>
      <w:r w:rsidR="00391751" w:rsidRPr="00880CDA">
        <w:t xml:space="preserve">for care home providers that are operating as </w:t>
      </w:r>
      <w:r w:rsidR="00877B23">
        <w:t>D</w:t>
      </w:r>
      <w:r w:rsidR="00391751" w:rsidRPr="00880CDA">
        <w:t xml:space="preserve">esignated </w:t>
      </w:r>
      <w:r w:rsidR="00877B23">
        <w:t>S</w:t>
      </w:r>
      <w:r w:rsidR="00391751" w:rsidRPr="00880CDA">
        <w:t>ettings</w:t>
      </w:r>
      <w:r w:rsidR="009A09EB">
        <w:t xml:space="preserve"> and to set out how the support will operate in practice</w:t>
      </w:r>
      <w:r w:rsidR="00542C76" w:rsidRPr="00880CDA">
        <w:t xml:space="preserve">.  </w:t>
      </w:r>
    </w:p>
    <w:p w14:paraId="41B38286" w14:textId="7E43F148" w:rsidR="00391751" w:rsidRPr="00880CDA" w:rsidRDefault="00542C76">
      <w:r w:rsidRPr="00880CDA">
        <w:t xml:space="preserve">These </w:t>
      </w:r>
      <w:r w:rsidR="006B54B6">
        <w:t>s</w:t>
      </w:r>
      <w:r w:rsidRPr="00880CDA">
        <w:t xml:space="preserve">ettings provide </w:t>
      </w:r>
      <w:r w:rsidR="00391751" w:rsidRPr="00880CDA">
        <w:t>care for those ready to leave hospital for a care home</w:t>
      </w:r>
      <w:r w:rsidR="00FD7B04" w:rsidRPr="00880CDA">
        <w:t xml:space="preserve"> (including to a care home where </w:t>
      </w:r>
      <w:r w:rsidR="00B040DD" w:rsidRPr="00880CDA">
        <w:t>they</w:t>
      </w:r>
      <w:r w:rsidR="00FD7B04" w:rsidRPr="00880CDA">
        <w:t xml:space="preserve"> normally </w:t>
      </w:r>
      <w:r w:rsidR="00B040DD" w:rsidRPr="00880CDA">
        <w:t>reside)</w:t>
      </w:r>
      <w:r w:rsidR="00391751" w:rsidRPr="00880CDA">
        <w:t xml:space="preserve"> but who have previously tested positive and remain infectious.</w:t>
      </w:r>
      <w:r w:rsidR="009A09EB">
        <w:t xml:space="preserve">  </w:t>
      </w:r>
      <w:r w:rsidR="00391751" w:rsidRPr="00880CDA">
        <w:t xml:space="preserve">You will be aware that a number of care providers have pointed to an inability to secure </w:t>
      </w:r>
      <w:r w:rsidR="00EE0AF0" w:rsidRPr="00880CDA">
        <w:t>adequate</w:t>
      </w:r>
      <w:r w:rsidR="00391751" w:rsidRPr="00880CDA">
        <w:t xml:space="preserve"> insurance (</w:t>
      </w:r>
      <w:r w:rsidR="00EE0AF0" w:rsidRPr="00880CDA">
        <w:t xml:space="preserve">e.g. </w:t>
      </w:r>
      <w:r w:rsidR="00391751" w:rsidRPr="00880CDA">
        <w:t xml:space="preserve">to indemnify themselves in the event of a successful </w:t>
      </w:r>
      <w:r w:rsidR="00984BD0" w:rsidRPr="00880CDA">
        <w:t>clinical negligence, p</w:t>
      </w:r>
      <w:r w:rsidR="00391751" w:rsidRPr="00880CDA">
        <w:t xml:space="preserve">ublic </w:t>
      </w:r>
      <w:r w:rsidR="00984BD0" w:rsidRPr="00880CDA">
        <w:t>and/or employer’s l</w:t>
      </w:r>
      <w:r w:rsidR="00391751" w:rsidRPr="00880CDA">
        <w:t xml:space="preserve">iability claim being brought against them) as a barrier to </w:t>
      </w:r>
      <w:r w:rsidR="007656E0" w:rsidRPr="00880CDA">
        <w:t xml:space="preserve">operating as </w:t>
      </w:r>
      <w:r w:rsidR="00391751" w:rsidRPr="00880CDA">
        <w:t xml:space="preserve">a </w:t>
      </w:r>
      <w:r w:rsidR="00877B23">
        <w:t>D</w:t>
      </w:r>
      <w:r w:rsidR="00391751" w:rsidRPr="00880CDA">
        <w:t xml:space="preserve">esignated </w:t>
      </w:r>
      <w:r w:rsidR="00877B23">
        <w:t>S</w:t>
      </w:r>
      <w:r w:rsidR="00391751" w:rsidRPr="00880CDA">
        <w:t xml:space="preserve">etting.  The new </w:t>
      </w:r>
      <w:r w:rsidR="00F1588A" w:rsidRPr="00880CDA">
        <w:t>support</w:t>
      </w:r>
      <w:r w:rsidR="00391751" w:rsidRPr="00880CDA">
        <w:t xml:space="preserve"> provides a carefully targeted, time-limited </w:t>
      </w:r>
      <w:r w:rsidR="007C3E2A" w:rsidRPr="00880CDA">
        <w:t>arrangement</w:t>
      </w:r>
      <w:r w:rsidR="00391751" w:rsidRPr="00880CDA">
        <w:t xml:space="preserve"> to remove this specific barrier</w:t>
      </w:r>
      <w:r w:rsidR="00F1588A" w:rsidRPr="00880CDA">
        <w:t xml:space="preserve">.  As such it is </w:t>
      </w:r>
      <w:r w:rsidR="00391751" w:rsidRPr="00880CDA">
        <w:t xml:space="preserve">part of the wider efforts </w:t>
      </w:r>
      <w:r w:rsidR="00F1588A" w:rsidRPr="00880CDA">
        <w:t xml:space="preserve">led by colleagues </w:t>
      </w:r>
      <w:r w:rsidR="00391751" w:rsidRPr="00880CDA">
        <w:t xml:space="preserve">across </w:t>
      </w:r>
      <w:r w:rsidR="00CD5665" w:rsidRPr="00880CDA">
        <w:t xml:space="preserve">Local Government, </w:t>
      </w:r>
      <w:r w:rsidR="00391751" w:rsidRPr="00880CDA">
        <w:t>DHSC, NHSE/I</w:t>
      </w:r>
      <w:r w:rsidR="00CD5665" w:rsidRPr="00880CDA">
        <w:t xml:space="preserve"> and </w:t>
      </w:r>
      <w:r w:rsidR="00391751" w:rsidRPr="00880CDA">
        <w:t xml:space="preserve">CQC to </w:t>
      </w:r>
      <w:r w:rsidR="00F1588A" w:rsidRPr="00880CDA">
        <w:t xml:space="preserve">ensure </w:t>
      </w:r>
      <w:proofErr w:type="gramStart"/>
      <w:r w:rsidR="00DD47E8" w:rsidRPr="00880CDA">
        <w:t>sufficient</w:t>
      </w:r>
      <w:proofErr w:type="gramEnd"/>
      <w:r w:rsidR="00391751" w:rsidRPr="00880CDA">
        <w:t xml:space="preserve"> </w:t>
      </w:r>
      <w:r w:rsidR="000E14DC">
        <w:t>D</w:t>
      </w:r>
      <w:r w:rsidR="00391751" w:rsidRPr="00880CDA">
        <w:t xml:space="preserve">esignated </w:t>
      </w:r>
      <w:r w:rsidR="000E14DC">
        <w:t>S</w:t>
      </w:r>
      <w:r w:rsidR="00391751" w:rsidRPr="00880CDA">
        <w:t xml:space="preserve">ettings capacity </w:t>
      </w:r>
      <w:r w:rsidR="00F1588A" w:rsidRPr="00880CDA">
        <w:t xml:space="preserve">is </w:t>
      </w:r>
      <w:r w:rsidR="00391751" w:rsidRPr="00880CDA">
        <w:t xml:space="preserve">in place </w:t>
      </w:r>
      <w:r w:rsidR="00F1588A" w:rsidRPr="00880CDA">
        <w:t>across the country</w:t>
      </w:r>
      <w:r w:rsidR="00391751" w:rsidRPr="00880CDA">
        <w:t xml:space="preserve">.   </w:t>
      </w:r>
    </w:p>
    <w:p w14:paraId="0E580878" w14:textId="03049261" w:rsidR="00F1588A" w:rsidRPr="00880CDA" w:rsidRDefault="008769F4" w:rsidP="00C56C6A">
      <w:r w:rsidRPr="00880CDA">
        <w:t>We are putting the support in place in order to help unlock capacity quickly where it is most needed.  As such w</w:t>
      </w:r>
      <w:r w:rsidR="00F1588A" w:rsidRPr="00880CDA">
        <w:t xml:space="preserve">e are asking Local Authorities to play an important role </w:t>
      </w:r>
      <w:r w:rsidR="00856498">
        <w:t xml:space="preserve">(working with CCGs and local NHS provider partners) </w:t>
      </w:r>
      <w:r w:rsidR="00F1588A" w:rsidRPr="00880CDA">
        <w:t xml:space="preserve">in </w:t>
      </w:r>
      <w:r w:rsidR="000F46F1" w:rsidRPr="00880CDA">
        <w:t xml:space="preserve">helping us to </w:t>
      </w:r>
      <w:r w:rsidR="00F1588A" w:rsidRPr="00880CDA">
        <w:t>target</w:t>
      </w:r>
      <w:r w:rsidR="000F46F1" w:rsidRPr="00880CDA">
        <w:t xml:space="preserve"> and operationalise the support </w:t>
      </w:r>
      <w:r w:rsidR="009A09EB">
        <w:t xml:space="preserve">over the coming days </w:t>
      </w:r>
      <w:r w:rsidR="000F46F1" w:rsidRPr="00880CDA">
        <w:t xml:space="preserve">– because LAs are </w:t>
      </w:r>
      <w:r w:rsidR="00567A8C" w:rsidRPr="00880CDA">
        <w:t xml:space="preserve">already </w:t>
      </w:r>
      <w:r w:rsidR="000F46F1" w:rsidRPr="00880CDA">
        <w:t xml:space="preserve">at the centre of </w:t>
      </w:r>
      <w:r w:rsidR="00567A8C" w:rsidRPr="00880CDA">
        <w:t xml:space="preserve">local </w:t>
      </w:r>
      <w:r w:rsidR="000F46F1" w:rsidRPr="00880CDA">
        <w:t>discussion</w:t>
      </w:r>
      <w:r w:rsidR="00567A8C" w:rsidRPr="00880CDA">
        <w:t>s</w:t>
      </w:r>
      <w:r w:rsidR="000F46F1" w:rsidRPr="00880CDA">
        <w:t xml:space="preserve"> to mobilise </w:t>
      </w:r>
      <w:r w:rsidR="00567A8C" w:rsidRPr="00880CDA">
        <w:t>designated settings capacity</w:t>
      </w:r>
      <w:r w:rsidR="000822E7" w:rsidRPr="00880CDA">
        <w:t xml:space="preserve">, and uniquely hold the key relationships necessary to put the support in place for individual care homes.  </w:t>
      </w:r>
      <w:r w:rsidR="00F1588A" w:rsidRPr="00880CDA">
        <w:t xml:space="preserve"> </w:t>
      </w:r>
      <w:r w:rsidR="000822E7" w:rsidRPr="00880CDA">
        <w:t>We are grateful for the engagement of Local Government partners in setting up the support at pace, and for Local Authorities support in rolling it out.</w:t>
      </w:r>
      <w:r w:rsidR="00F1588A" w:rsidRPr="00880CDA">
        <w:t xml:space="preserve"> </w:t>
      </w:r>
    </w:p>
    <w:p w14:paraId="6E4A66E6" w14:textId="44EDED92" w:rsidR="00E127A8" w:rsidRPr="00880CDA" w:rsidRDefault="00E127A8">
      <w:pPr>
        <w:rPr>
          <w:b/>
          <w:bCs/>
        </w:rPr>
      </w:pPr>
      <w:r w:rsidRPr="00880CDA">
        <w:rPr>
          <w:b/>
          <w:bCs/>
        </w:rPr>
        <w:t xml:space="preserve">Outline of the </w:t>
      </w:r>
      <w:r w:rsidR="009A09EB">
        <w:rPr>
          <w:b/>
          <w:bCs/>
        </w:rPr>
        <w:t xml:space="preserve">Designated Settings Indemnity </w:t>
      </w:r>
      <w:r w:rsidRPr="00880CDA">
        <w:rPr>
          <w:b/>
          <w:bCs/>
        </w:rPr>
        <w:t>Support</w:t>
      </w:r>
      <w:r w:rsidR="000822E7" w:rsidRPr="00880CDA">
        <w:rPr>
          <w:b/>
          <w:bCs/>
        </w:rPr>
        <w:t xml:space="preserve"> </w:t>
      </w:r>
    </w:p>
    <w:p w14:paraId="4EB3D3E0" w14:textId="52B07CC9" w:rsidR="00391751" w:rsidRPr="00880CDA" w:rsidRDefault="007B1731">
      <w:r>
        <w:t>T</w:t>
      </w:r>
      <w:r w:rsidR="000822E7" w:rsidRPr="00880CDA">
        <w:t>he key elements of the support ar</w:t>
      </w:r>
      <w:r w:rsidR="002E5710" w:rsidRPr="00880CDA">
        <w:t>e</w:t>
      </w:r>
      <w:r w:rsidR="000822E7" w:rsidRPr="00880CDA">
        <w:t xml:space="preserve">: </w:t>
      </w:r>
      <w:r w:rsidR="00F1588A" w:rsidRPr="00880CDA">
        <w:t xml:space="preserve"> </w:t>
      </w:r>
    </w:p>
    <w:p w14:paraId="11C6139B" w14:textId="77777777" w:rsidR="00583F15" w:rsidRPr="00880CDA" w:rsidRDefault="00583F15" w:rsidP="00391751">
      <w:pPr>
        <w:pStyle w:val="ListParagraph"/>
        <w:numPr>
          <w:ilvl w:val="0"/>
          <w:numId w:val="1"/>
        </w:numPr>
        <w:rPr>
          <w:rFonts w:cstheme="minorHAnsi"/>
        </w:rPr>
      </w:pPr>
      <w:r w:rsidRPr="00880CDA">
        <w:rPr>
          <w:rFonts w:cstheme="minorHAnsi"/>
        </w:rPr>
        <w:t>Eligibility:</w:t>
      </w:r>
    </w:p>
    <w:p w14:paraId="3A3648E7" w14:textId="03C7DD04" w:rsidR="00F87B85" w:rsidRDefault="00F87B85" w:rsidP="00E56EFA">
      <w:pPr>
        <w:pStyle w:val="ListParagraph"/>
        <w:numPr>
          <w:ilvl w:val="1"/>
          <w:numId w:val="1"/>
        </w:numPr>
        <w:rPr>
          <w:rFonts w:cstheme="minorHAnsi"/>
        </w:rPr>
      </w:pPr>
      <w:r w:rsidRPr="00E56EFA">
        <w:rPr>
          <w:rFonts w:cstheme="minorHAnsi"/>
        </w:rPr>
        <w:t xml:space="preserve">Designated Settings Indemnity Support will enable care homes assured by CQC as </w:t>
      </w:r>
      <w:r w:rsidR="00B2508C">
        <w:rPr>
          <w:rFonts w:cstheme="minorHAnsi"/>
        </w:rPr>
        <w:t>D</w:t>
      </w:r>
      <w:r w:rsidRPr="00E56EFA">
        <w:rPr>
          <w:rFonts w:cstheme="minorHAnsi"/>
        </w:rPr>
        <w:t xml:space="preserve">esignated </w:t>
      </w:r>
      <w:r w:rsidR="00B2508C">
        <w:rPr>
          <w:rFonts w:cstheme="minorHAnsi"/>
        </w:rPr>
        <w:t>S</w:t>
      </w:r>
      <w:r w:rsidRPr="00E56EFA">
        <w:rPr>
          <w:rFonts w:cstheme="minorHAnsi"/>
        </w:rPr>
        <w:t>ettings</w:t>
      </w:r>
      <w:r w:rsidR="00AA6A28">
        <w:rPr>
          <w:rFonts w:cstheme="minorHAnsi"/>
        </w:rPr>
        <w:t xml:space="preserve">, </w:t>
      </w:r>
      <w:r w:rsidRPr="00E56EFA">
        <w:rPr>
          <w:rFonts w:cstheme="minorHAnsi"/>
        </w:rPr>
        <w:t xml:space="preserve">and which are not able to obtain </w:t>
      </w:r>
      <w:proofErr w:type="gramStart"/>
      <w:r w:rsidRPr="00E56EFA">
        <w:rPr>
          <w:rFonts w:cstheme="minorHAnsi"/>
        </w:rPr>
        <w:t>sufficient</w:t>
      </w:r>
      <w:proofErr w:type="gramEnd"/>
      <w:r w:rsidRPr="00E56EFA">
        <w:rPr>
          <w:rFonts w:cstheme="minorHAnsi"/>
        </w:rPr>
        <w:t xml:space="preserve"> insurance, to overcome this barrier to accepting infectious COVID-19 positive patients from the NHS. </w:t>
      </w:r>
    </w:p>
    <w:p w14:paraId="25769DE0" w14:textId="06FC4FEA" w:rsidR="00AA6A28" w:rsidRPr="00E56EFA" w:rsidRDefault="00AA6A28" w:rsidP="00E56EFA">
      <w:pPr>
        <w:pStyle w:val="ListParagraph"/>
        <w:numPr>
          <w:ilvl w:val="1"/>
          <w:numId w:val="1"/>
        </w:numPr>
        <w:rPr>
          <w:rFonts w:cstheme="minorHAnsi"/>
        </w:rPr>
      </w:pPr>
      <w:r>
        <w:rPr>
          <w:rFonts w:cstheme="minorHAnsi"/>
        </w:rPr>
        <w:t xml:space="preserve">The support will be available (in principle) both to care homes already designated by CQC, and to those that are assured by CQC in the future.  In all cases, support will be available only where the care home meets the various other criteria for the support.  </w:t>
      </w:r>
    </w:p>
    <w:p w14:paraId="3EB82A29" w14:textId="32851F67" w:rsidR="00F87B85" w:rsidRPr="00880CDA" w:rsidRDefault="00E56EFA" w:rsidP="00583F15">
      <w:pPr>
        <w:pStyle w:val="ListParagraph"/>
        <w:numPr>
          <w:ilvl w:val="1"/>
          <w:numId w:val="1"/>
        </w:numPr>
        <w:rPr>
          <w:rFonts w:cstheme="minorHAnsi"/>
        </w:rPr>
      </w:pPr>
      <w:r>
        <w:rPr>
          <w:rFonts w:cstheme="minorHAnsi"/>
        </w:rPr>
        <w:t xml:space="preserve">The support is </w:t>
      </w:r>
      <w:r w:rsidR="00856498" w:rsidRPr="00856498">
        <w:rPr>
          <w:rFonts w:cstheme="minorHAnsi"/>
          <w:b/>
          <w:bCs/>
        </w:rPr>
        <w:t>NOT</w:t>
      </w:r>
      <w:r w:rsidR="00856498">
        <w:rPr>
          <w:rFonts w:cstheme="minorHAnsi"/>
        </w:rPr>
        <w:t xml:space="preserve"> </w:t>
      </w:r>
      <w:r w:rsidR="00AA6A28">
        <w:rPr>
          <w:rFonts w:cstheme="minorHAnsi"/>
        </w:rPr>
        <w:t>available</w:t>
      </w:r>
      <w:r>
        <w:rPr>
          <w:rFonts w:cstheme="minorHAnsi"/>
        </w:rPr>
        <w:t xml:space="preserve"> for care home</w:t>
      </w:r>
      <w:r w:rsidR="00856498">
        <w:rPr>
          <w:rFonts w:cstheme="minorHAnsi"/>
        </w:rPr>
        <w:t>s</w:t>
      </w:r>
      <w:r>
        <w:rPr>
          <w:rFonts w:cstheme="minorHAnsi"/>
        </w:rPr>
        <w:t xml:space="preserve"> more widely – </w:t>
      </w:r>
      <w:r w:rsidR="00AA6A28">
        <w:rPr>
          <w:rFonts w:cstheme="minorHAnsi"/>
        </w:rPr>
        <w:t xml:space="preserve">i.e., </w:t>
      </w:r>
      <w:r>
        <w:rPr>
          <w:rFonts w:cstheme="minorHAnsi"/>
        </w:rPr>
        <w:t xml:space="preserve">those </w:t>
      </w:r>
      <w:r w:rsidR="005B2FA1">
        <w:rPr>
          <w:rFonts w:cstheme="minorHAnsi"/>
        </w:rPr>
        <w:t>not</w:t>
      </w:r>
      <w:r>
        <w:rPr>
          <w:rFonts w:cstheme="minorHAnsi"/>
        </w:rPr>
        <w:t xml:space="preserve"> operating as Designated Settings.  </w:t>
      </w:r>
    </w:p>
    <w:p w14:paraId="2998D8B4" w14:textId="59DDFB2F" w:rsidR="00583F15" w:rsidRPr="00880CDA" w:rsidRDefault="00583F15" w:rsidP="00C11B9C">
      <w:pPr>
        <w:pStyle w:val="ListParagraph"/>
        <w:numPr>
          <w:ilvl w:val="0"/>
          <w:numId w:val="1"/>
        </w:numPr>
        <w:rPr>
          <w:rFonts w:cstheme="minorHAnsi"/>
          <w:shd w:val="clear" w:color="auto" w:fill="FFFFFF"/>
        </w:rPr>
      </w:pPr>
      <w:r w:rsidRPr="00880CDA">
        <w:rPr>
          <w:rFonts w:cstheme="minorHAnsi"/>
          <w:shd w:val="clear" w:color="auto" w:fill="FFFFFF"/>
        </w:rPr>
        <w:t>Scope:</w:t>
      </w:r>
    </w:p>
    <w:p w14:paraId="706D56C4" w14:textId="37A6F771" w:rsidR="00F4465D" w:rsidRPr="00880CDA" w:rsidRDefault="00EE0AF0" w:rsidP="00F4465D">
      <w:pPr>
        <w:pStyle w:val="ListParagraph"/>
        <w:numPr>
          <w:ilvl w:val="1"/>
          <w:numId w:val="1"/>
        </w:numPr>
        <w:rPr>
          <w:rFonts w:cstheme="minorHAnsi"/>
        </w:rPr>
      </w:pPr>
      <w:r w:rsidRPr="00880CDA">
        <w:rPr>
          <w:rFonts w:cstheme="minorHAnsi"/>
          <w:shd w:val="clear" w:color="auto" w:fill="FFFFFF"/>
        </w:rPr>
        <w:t xml:space="preserve">The indemnity will cover </w:t>
      </w:r>
      <w:r w:rsidR="00450FAB">
        <w:rPr>
          <w:rFonts w:cstheme="minorHAnsi"/>
          <w:shd w:val="clear" w:color="auto" w:fill="FFFFFF"/>
        </w:rPr>
        <w:t>C</w:t>
      </w:r>
      <w:r w:rsidRPr="00880CDA">
        <w:rPr>
          <w:rFonts w:cstheme="minorHAnsi"/>
          <w:shd w:val="clear" w:color="auto" w:fill="FFFFFF"/>
        </w:rPr>
        <w:t xml:space="preserve">linical </w:t>
      </w:r>
      <w:r w:rsidR="00450FAB">
        <w:rPr>
          <w:rFonts w:cstheme="minorHAnsi"/>
          <w:shd w:val="clear" w:color="auto" w:fill="FFFFFF"/>
        </w:rPr>
        <w:t>N</w:t>
      </w:r>
      <w:r w:rsidRPr="00880CDA">
        <w:rPr>
          <w:rFonts w:cstheme="minorHAnsi"/>
          <w:shd w:val="clear" w:color="auto" w:fill="FFFFFF"/>
        </w:rPr>
        <w:t xml:space="preserve">egligence, </w:t>
      </w:r>
      <w:r w:rsidR="00450FAB">
        <w:rPr>
          <w:rFonts w:cstheme="minorHAnsi"/>
          <w:shd w:val="clear" w:color="auto" w:fill="FFFFFF"/>
        </w:rPr>
        <w:t>E</w:t>
      </w:r>
      <w:r w:rsidRPr="00880CDA">
        <w:rPr>
          <w:rFonts w:cstheme="minorHAnsi"/>
          <w:shd w:val="clear" w:color="auto" w:fill="FFFFFF"/>
        </w:rPr>
        <w:t xml:space="preserve">mployer’s and </w:t>
      </w:r>
      <w:r w:rsidR="00450FAB">
        <w:rPr>
          <w:rFonts w:cstheme="minorHAnsi"/>
          <w:shd w:val="clear" w:color="auto" w:fill="FFFFFF"/>
        </w:rPr>
        <w:t>P</w:t>
      </w:r>
      <w:r w:rsidRPr="00880CDA">
        <w:rPr>
          <w:rFonts w:cstheme="minorHAnsi"/>
          <w:shd w:val="clear" w:color="auto" w:fill="FFFFFF"/>
        </w:rPr>
        <w:t xml:space="preserve">ublic </w:t>
      </w:r>
      <w:r w:rsidR="00450FAB">
        <w:rPr>
          <w:rFonts w:cstheme="minorHAnsi"/>
          <w:shd w:val="clear" w:color="auto" w:fill="FFFFFF"/>
        </w:rPr>
        <w:t>L</w:t>
      </w:r>
      <w:r w:rsidRPr="00880CDA">
        <w:rPr>
          <w:rFonts w:cstheme="minorHAnsi"/>
          <w:shd w:val="clear" w:color="auto" w:fill="FFFFFF"/>
        </w:rPr>
        <w:t xml:space="preserve">iability where a care provider is unable to secure </w:t>
      </w:r>
      <w:proofErr w:type="gramStart"/>
      <w:r w:rsidRPr="00880CDA">
        <w:rPr>
          <w:rFonts w:cstheme="minorHAnsi"/>
          <w:shd w:val="clear" w:color="auto" w:fill="FFFFFF"/>
        </w:rPr>
        <w:t>sufficient</w:t>
      </w:r>
      <w:proofErr w:type="gramEnd"/>
      <w:r w:rsidRPr="00880CDA">
        <w:rPr>
          <w:rFonts w:cstheme="minorHAnsi"/>
          <w:shd w:val="clear" w:color="auto" w:fill="FFFFFF"/>
        </w:rPr>
        <w:t xml:space="preserve"> commercial insurance</w:t>
      </w:r>
      <w:r w:rsidR="00AA6A28">
        <w:rPr>
          <w:rFonts w:cstheme="minorHAnsi"/>
          <w:shd w:val="clear" w:color="auto" w:fill="FFFFFF"/>
        </w:rPr>
        <w:t xml:space="preserve"> for those risks</w:t>
      </w:r>
      <w:r w:rsidRPr="00880CDA">
        <w:rPr>
          <w:rFonts w:cstheme="minorHAnsi"/>
          <w:shd w:val="clear" w:color="auto" w:fill="FFFFFF"/>
        </w:rPr>
        <w:t xml:space="preserve">, or where an existing provider </w:t>
      </w:r>
      <w:r w:rsidR="00856498">
        <w:rPr>
          <w:rFonts w:cstheme="minorHAnsi"/>
          <w:shd w:val="clear" w:color="auto" w:fill="FFFFFF"/>
        </w:rPr>
        <w:t xml:space="preserve">of a Designated Setting </w:t>
      </w:r>
      <w:r w:rsidRPr="00880CDA">
        <w:rPr>
          <w:rFonts w:cstheme="minorHAnsi"/>
          <w:shd w:val="clear" w:color="auto" w:fill="FFFFFF"/>
        </w:rPr>
        <w:t xml:space="preserve">has been operating without sufficient cover. </w:t>
      </w:r>
    </w:p>
    <w:p w14:paraId="3DFCC8A0" w14:textId="6064060D" w:rsidR="00F4465D" w:rsidRPr="00880CDA" w:rsidRDefault="00F4465D" w:rsidP="00F4465D">
      <w:pPr>
        <w:pStyle w:val="ListParagraph"/>
        <w:numPr>
          <w:ilvl w:val="1"/>
          <w:numId w:val="1"/>
        </w:numPr>
        <w:rPr>
          <w:rFonts w:cstheme="minorHAnsi"/>
        </w:rPr>
      </w:pPr>
      <w:r w:rsidRPr="00880CDA">
        <w:rPr>
          <w:rFonts w:cstheme="minorHAnsi"/>
          <w:shd w:val="clear" w:color="auto" w:fill="FFFFFF"/>
        </w:rPr>
        <w:t xml:space="preserve">The indemnity does not replace existing insurance for </w:t>
      </w:r>
      <w:r w:rsidR="00D56322">
        <w:rPr>
          <w:rFonts w:cstheme="minorHAnsi"/>
          <w:shd w:val="clear" w:color="auto" w:fill="FFFFFF"/>
        </w:rPr>
        <w:t>D</w:t>
      </w:r>
      <w:r w:rsidRPr="00880CDA">
        <w:rPr>
          <w:rFonts w:cstheme="minorHAnsi"/>
          <w:shd w:val="clear" w:color="auto" w:fill="FFFFFF"/>
        </w:rPr>
        <w:t xml:space="preserve">esignated </w:t>
      </w:r>
      <w:proofErr w:type="gramStart"/>
      <w:r w:rsidR="00D56322">
        <w:rPr>
          <w:rFonts w:cstheme="minorHAnsi"/>
          <w:shd w:val="clear" w:color="auto" w:fill="FFFFFF"/>
        </w:rPr>
        <w:t>S</w:t>
      </w:r>
      <w:r w:rsidRPr="00880CDA">
        <w:rPr>
          <w:rFonts w:cstheme="minorHAnsi"/>
          <w:shd w:val="clear" w:color="auto" w:fill="FFFFFF"/>
        </w:rPr>
        <w:t>ettings, but</w:t>
      </w:r>
      <w:proofErr w:type="gramEnd"/>
      <w:r w:rsidRPr="00880CDA">
        <w:rPr>
          <w:rFonts w:cstheme="minorHAnsi"/>
          <w:shd w:val="clear" w:color="auto" w:fill="FFFFFF"/>
        </w:rPr>
        <w:t xml:space="preserve"> acts as a “gap-filler” to bring cover up to a sufficient level</w:t>
      </w:r>
      <w:r w:rsidR="00450FAB">
        <w:rPr>
          <w:rFonts w:cstheme="minorHAnsi"/>
          <w:shd w:val="clear" w:color="auto" w:fill="FFFFFF"/>
        </w:rPr>
        <w:t xml:space="preserve"> (i.e., in respect of Clinical Negligence, Public or Employer’s Liability as necessary)</w:t>
      </w:r>
      <w:r w:rsidRPr="00880CDA">
        <w:rPr>
          <w:rFonts w:cstheme="minorHAnsi"/>
          <w:shd w:val="clear" w:color="auto" w:fill="FFFFFF"/>
        </w:rPr>
        <w:t xml:space="preserve">. </w:t>
      </w:r>
    </w:p>
    <w:p w14:paraId="7C3A3023" w14:textId="492B7CEC" w:rsidR="00880CDA" w:rsidRPr="00880CDA" w:rsidRDefault="00880CDA" w:rsidP="00880CDA">
      <w:pPr>
        <w:pStyle w:val="ListParagraph"/>
        <w:numPr>
          <w:ilvl w:val="0"/>
          <w:numId w:val="1"/>
        </w:numPr>
        <w:rPr>
          <w:rFonts w:cstheme="minorHAnsi"/>
        </w:rPr>
      </w:pPr>
      <w:r w:rsidRPr="00880CDA">
        <w:rPr>
          <w:rFonts w:cstheme="minorHAnsi"/>
        </w:rPr>
        <w:t>Operation</w:t>
      </w:r>
      <w:r>
        <w:rPr>
          <w:rFonts w:cstheme="minorHAnsi"/>
        </w:rPr>
        <w:t>:</w:t>
      </w:r>
    </w:p>
    <w:p w14:paraId="0B14B8DE" w14:textId="7E724AD9" w:rsidR="006C36F5" w:rsidRPr="00880CDA" w:rsidRDefault="00A670E3" w:rsidP="00F4465D">
      <w:pPr>
        <w:pStyle w:val="ListParagraph"/>
        <w:numPr>
          <w:ilvl w:val="1"/>
          <w:numId w:val="1"/>
        </w:numPr>
        <w:rPr>
          <w:rFonts w:cstheme="minorHAnsi"/>
        </w:rPr>
      </w:pPr>
      <w:r w:rsidRPr="00880CDA">
        <w:rPr>
          <w:rFonts w:cstheme="minorHAnsi"/>
        </w:rPr>
        <w:t>Care</w:t>
      </w:r>
      <w:r w:rsidR="00031273" w:rsidRPr="00880CDA">
        <w:rPr>
          <w:rFonts w:cstheme="minorHAnsi"/>
        </w:rPr>
        <w:t xml:space="preserve"> providers will be </w:t>
      </w:r>
      <w:r w:rsidR="00F86EB6" w:rsidRPr="00880CDA">
        <w:rPr>
          <w:rFonts w:cstheme="minorHAnsi"/>
        </w:rPr>
        <w:t xml:space="preserve">sub-contracted </w:t>
      </w:r>
      <w:r w:rsidR="00AA6A28">
        <w:rPr>
          <w:rFonts w:cstheme="minorHAnsi"/>
        </w:rPr>
        <w:t xml:space="preserve">for the Designated Settings service </w:t>
      </w:r>
      <w:r w:rsidR="00F86EB6" w:rsidRPr="00880CDA">
        <w:rPr>
          <w:rFonts w:cstheme="minorHAnsi"/>
        </w:rPr>
        <w:t xml:space="preserve">by relevant NHS Trusts </w:t>
      </w:r>
      <w:r w:rsidR="009058C3" w:rsidRPr="00880CDA">
        <w:rPr>
          <w:rFonts w:cstheme="minorHAnsi"/>
        </w:rPr>
        <w:t>(not local authorities).</w:t>
      </w:r>
      <w:r w:rsidRPr="00880CDA">
        <w:rPr>
          <w:rFonts w:cstheme="minorHAnsi"/>
        </w:rPr>
        <w:t xml:space="preserve"> These </w:t>
      </w:r>
      <w:r w:rsidR="00783E16" w:rsidRPr="00880CDA">
        <w:rPr>
          <w:rFonts w:cstheme="minorHAnsi"/>
        </w:rPr>
        <w:t xml:space="preserve">sub-contracts will </w:t>
      </w:r>
      <w:r w:rsidR="00FC5E12" w:rsidRPr="00880CDA">
        <w:rPr>
          <w:rFonts w:cstheme="minorHAnsi"/>
        </w:rPr>
        <w:t>provide</w:t>
      </w:r>
      <w:r w:rsidR="00783E16" w:rsidRPr="00880CDA">
        <w:rPr>
          <w:rFonts w:cstheme="minorHAnsi"/>
        </w:rPr>
        <w:t xml:space="preserve"> </w:t>
      </w:r>
      <w:r w:rsidR="002800B6" w:rsidRPr="00880CDA">
        <w:rPr>
          <w:rFonts w:cstheme="minorHAnsi"/>
        </w:rPr>
        <w:t xml:space="preserve">contractual indemnities </w:t>
      </w:r>
      <w:r w:rsidR="00FC5E12" w:rsidRPr="00880CDA">
        <w:rPr>
          <w:rFonts w:cstheme="minorHAnsi"/>
        </w:rPr>
        <w:t>to</w:t>
      </w:r>
      <w:r w:rsidR="004C499A" w:rsidRPr="00880CDA">
        <w:rPr>
          <w:rFonts w:cstheme="minorHAnsi"/>
        </w:rPr>
        <w:t xml:space="preserve"> the </w:t>
      </w:r>
      <w:r w:rsidR="00FC5E12" w:rsidRPr="00880CDA">
        <w:rPr>
          <w:rFonts w:cstheme="minorHAnsi"/>
        </w:rPr>
        <w:t xml:space="preserve">designated care home setting: </w:t>
      </w:r>
      <w:r w:rsidR="004C499A" w:rsidRPr="00880CDA">
        <w:rPr>
          <w:rFonts w:cstheme="minorHAnsi"/>
        </w:rPr>
        <w:t xml:space="preserve"> </w:t>
      </w:r>
    </w:p>
    <w:p w14:paraId="7CC0A16E" w14:textId="6836057D" w:rsidR="004C499A" w:rsidRPr="00880CDA" w:rsidRDefault="00EE0AF0" w:rsidP="00F4465D">
      <w:pPr>
        <w:pStyle w:val="ListParagraph"/>
        <w:numPr>
          <w:ilvl w:val="2"/>
          <w:numId w:val="1"/>
        </w:numPr>
        <w:rPr>
          <w:rFonts w:cstheme="minorHAnsi"/>
        </w:rPr>
      </w:pPr>
      <w:r w:rsidRPr="00880CDA">
        <w:rPr>
          <w:rFonts w:cstheme="minorHAnsi"/>
          <w:shd w:val="clear" w:color="auto" w:fill="FFFFFF"/>
        </w:rPr>
        <w:t xml:space="preserve">Employer’s and </w:t>
      </w:r>
      <w:r w:rsidR="00450FAB">
        <w:rPr>
          <w:rFonts w:cstheme="minorHAnsi"/>
          <w:shd w:val="clear" w:color="auto" w:fill="FFFFFF"/>
        </w:rPr>
        <w:t>P</w:t>
      </w:r>
      <w:r w:rsidRPr="00880CDA">
        <w:rPr>
          <w:rFonts w:cstheme="minorHAnsi"/>
          <w:shd w:val="clear" w:color="auto" w:fill="FFFFFF"/>
        </w:rPr>
        <w:t xml:space="preserve">ublic </w:t>
      </w:r>
      <w:r w:rsidR="00450FAB">
        <w:rPr>
          <w:rFonts w:cstheme="minorHAnsi"/>
          <w:shd w:val="clear" w:color="auto" w:fill="FFFFFF"/>
        </w:rPr>
        <w:t>L</w:t>
      </w:r>
      <w:r w:rsidRPr="00880CDA">
        <w:rPr>
          <w:rFonts w:cstheme="minorHAnsi"/>
          <w:shd w:val="clear" w:color="auto" w:fill="FFFFFF"/>
        </w:rPr>
        <w:t xml:space="preserve">iability will be covered by a new indemnity scheme; </w:t>
      </w:r>
    </w:p>
    <w:p w14:paraId="77E7233B" w14:textId="11BEC1DF" w:rsidR="008B6B79" w:rsidRPr="00880CDA" w:rsidRDefault="004C499A" w:rsidP="00F4465D">
      <w:pPr>
        <w:pStyle w:val="ListParagraph"/>
        <w:numPr>
          <w:ilvl w:val="2"/>
          <w:numId w:val="1"/>
        </w:numPr>
        <w:rPr>
          <w:rFonts w:cstheme="minorHAnsi"/>
        </w:rPr>
      </w:pPr>
      <w:r w:rsidRPr="00880CDA">
        <w:rPr>
          <w:rFonts w:cstheme="minorHAnsi"/>
          <w:shd w:val="clear" w:color="auto" w:fill="FFFFFF"/>
        </w:rPr>
        <w:t>C</w:t>
      </w:r>
      <w:r w:rsidR="00EE0AF0" w:rsidRPr="00880CDA">
        <w:rPr>
          <w:rFonts w:cstheme="minorHAnsi"/>
          <w:shd w:val="clear" w:color="auto" w:fill="FFFFFF"/>
        </w:rPr>
        <w:t xml:space="preserve">linical </w:t>
      </w:r>
      <w:r w:rsidR="00450FAB">
        <w:rPr>
          <w:rFonts w:cstheme="minorHAnsi"/>
          <w:shd w:val="clear" w:color="auto" w:fill="FFFFFF"/>
        </w:rPr>
        <w:t>N</w:t>
      </w:r>
      <w:r w:rsidR="00EE0AF0" w:rsidRPr="00880CDA">
        <w:rPr>
          <w:rFonts w:cstheme="minorHAnsi"/>
          <w:shd w:val="clear" w:color="auto" w:fill="FFFFFF"/>
        </w:rPr>
        <w:t xml:space="preserve">egligence will be covered by the Clinical </w:t>
      </w:r>
      <w:r w:rsidR="00856498">
        <w:rPr>
          <w:rFonts w:cstheme="minorHAnsi"/>
          <w:shd w:val="clear" w:color="auto" w:fill="FFFFFF"/>
        </w:rPr>
        <w:t>N</w:t>
      </w:r>
      <w:r w:rsidR="00EE0AF0" w:rsidRPr="00880CDA">
        <w:rPr>
          <w:rFonts w:cstheme="minorHAnsi"/>
          <w:shd w:val="clear" w:color="auto" w:fill="FFFFFF"/>
        </w:rPr>
        <w:t xml:space="preserve">egligence Scheme for Trusts, an existing state scheme. </w:t>
      </w:r>
    </w:p>
    <w:p w14:paraId="4693AE82" w14:textId="3F83178F" w:rsidR="00E26312" w:rsidRPr="00880CDA" w:rsidRDefault="00E26312" w:rsidP="00741920">
      <w:pPr>
        <w:pStyle w:val="ListParagraph"/>
        <w:numPr>
          <w:ilvl w:val="1"/>
          <w:numId w:val="1"/>
        </w:numPr>
        <w:rPr>
          <w:rFonts w:cstheme="minorHAnsi"/>
        </w:rPr>
      </w:pPr>
      <w:r w:rsidRPr="00880CDA">
        <w:rPr>
          <w:rFonts w:cstheme="minorHAnsi"/>
          <w:shd w:val="clear" w:color="auto" w:fill="FFFFFF"/>
        </w:rPr>
        <w:t>T</w:t>
      </w:r>
      <w:r w:rsidR="00D14ED3" w:rsidRPr="00880CDA">
        <w:rPr>
          <w:rFonts w:cstheme="minorHAnsi"/>
          <w:shd w:val="clear" w:color="auto" w:fill="FFFFFF"/>
        </w:rPr>
        <w:t xml:space="preserve">his </w:t>
      </w:r>
      <w:r w:rsidRPr="00880CDA">
        <w:rPr>
          <w:rFonts w:cstheme="minorHAnsi"/>
          <w:shd w:val="clear" w:color="auto" w:fill="FFFFFF"/>
        </w:rPr>
        <w:t>will not affect the CQC registration of either the care provider or the NHS trust.</w:t>
      </w:r>
    </w:p>
    <w:p w14:paraId="1023C912" w14:textId="779A2AE5" w:rsidR="00AC1846" w:rsidRPr="00880CDA" w:rsidRDefault="00794F2E" w:rsidP="00AC1846">
      <w:pPr>
        <w:pStyle w:val="ListParagraph"/>
        <w:numPr>
          <w:ilvl w:val="1"/>
          <w:numId w:val="1"/>
        </w:numPr>
        <w:rPr>
          <w:rFonts w:cstheme="minorHAnsi"/>
          <w:shd w:val="clear" w:color="auto" w:fill="FFFFFF"/>
        </w:rPr>
      </w:pPr>
      <w:hyperlink r:id="rId10" w:history="1">
        <w:r w:rsidR="00AC1846" w:rsidRPr="009A1C60">
          <w:rPr>
            <w:rStyle w:val="Hyperlink"/>
            <w:rFonts w:cstheme="minorHAnsi"/>
            <w:shd w:val="clear" w:color="auto" w:fill="FFFFFF"/>
          </w:rPr>
          <w:t>NHS Resolution</w:t>
        </w:r>
      </w:hyperlink>
      <w:r w:rsidR="00AC1846" w:rsidRPr="00880CDA">
        <w:rPr>
          <w:rFonts w:cstheme="minorHAnsi"/>
          <w:shd w:val="clear" w:color="auto" w:fill="FFFFFF"/>
        </w:rPr>
        <w:t xml:space="preserve"> is administering the indemnity on behalf of DHSC. NHS Resolution is an arm’s length body of DHSC which is responsible for handling NHS indemnity claims, including claims arising from the Covid-19 pandemic</w:t>
      </w:r>
    </w:p>
    <w:p w14:paraId="47E5720F" w14:textId="7761055A" w:rsidR="00AC1846" w:rsidRPr="00880CDA" w:rsidRDefault="00AC1846" w:rsidP="00AC1846">
      <w:pPr>
        <w:pStyle w:val="ListParagraph"/>
        <w:numPr>
          <w:ilvl w:val="1"/>
          <w:numId w:val="1"/>
        </w:numPr>
      </w:pPr>
      <w:r w:rsidRPr="00880CDA">
        <w:rPr>
          <w:rFonts w:cstheme="minorHAnsi"/>
          <w:shd w:val="clear" w:color="auto" w:fill="FFFFFF"/>
        </w:rPr>
        <w:t xml:space="preserve">Designated </w:t>
      </w:r>
      <w:r w:rsidR="00B2508C">
        <w:rPr>
          <w:rFonts w:cstheme="minorHAnsi"/>
          <w:shd w:val="clear" w:color="auto" w:fill="FFFFFF"/>
        </w:rPr>
        <w:t>S</w:t>
      </w:r>
      <w:r w:rsidRPr="00880CDA">
        <w:rPr>
          <w:rFonts w:cstheme="minorHAnsi"/>
          <w:shd w:val="clear" w:color="auto" w:fill="FFFFFF"/>
        </w:rPr>
        <w:t xml:space="preserve">ettings should report any claims to the sub-contracting Trust, which will in turn notify NHS Resolution. </w:t>
      </w:r>
    </w:p>
    <w:p w14:paraId="2F517953" w14:textId="77777777" w:rsidR="00880CDA" w:rsidRPr="00880CDA" w:rsidRDefault="00880CDA" w:rsidP="005869F3">
      <w:pPr>
        <w:pStyle w:val="ListParagraph"/>
        <w:numPr>
          <w:ilvl w:val="0"/>
          <w:numId w:val="1"/>
        </w:numPr>
        <w:rPr>
          <w:rFonts w:cstheme="minorHAnsi"/>
        </w:rPr>
      </w:pPr>
      <w:r>
        <w:rPr>
          <w:rFonts w:cstheme="minorHAnsi"/>
          <w:shd w:val="clear" w:color="auto" w:fill="FFFFFF"/>
        </w:rPr>
        <w:t>Timing:</w:t>
      </w:r>
    </w:p>
    <w:p w14:paraId="4927A998" w14:textId="12CBCBAD" w:rsidR="005869F3" w:rsidRPr="00880CDA" w:rsidRDefault="00F8078D" w:rsidP="00AC1846">
      <w:pPr>
        <w:pStyle w:val="ListParagraph"/>
        <w:numPr>
          <w:ilvl w:val="1"/>
          <w:numId w:val="1"/>
        </w:numPr>
        <w:rPr>
          <w:rFonts w:cstheme="minorHAnsi"/>
        </w:rPr>
      </w:pPr>
      <w:r w:rsidRPr="00880CDA">
        <w:rPr>
          <w:rFonts w:cstheme="minorHAnsi"/>
          <w:shd w:val="clear" w:color="auto" w:fill="FFFFFF"/>
        </w:rPr>
        <w:t>The indemnity support</w:t>
      </w:r>
      <w:r w:rsidR="005869F3" w:rsidRPr="00880CDA">
        <w:rPr>
          <w:rFonts w:cstheme="minorHAnsi"/>
          <w:shd w:val="clear" w:color="auto" w:fill="FFFFFF"/>
        </w:rPr>
        <w:t xml:space="preserve"> will come into operation on 19 January and will run until the end of March 2021, with a review point in mid-February.</w:t>
      </w:r>
    </w:p>
    <w:p w14:paraId="3F4A635E" w14:textId="77777777" w:rsidR="00853C7B" w:rsidRPr="00880CDA" w:rsidRDefault="00853C7B" w:rsidP="00AC1846">
      <w:pPr>
        <w:pStyle w:val="ListParagraph"/>
        <w:numPr>
          <w:ilvl w:val="1"/>
          <w:numId w:val="1"/>
        </w:numPr>
        <w:rPr>
          <w:rFonts w:cstheme="minorHAnsi"/>
        </w:rPr>
      </w:pPr>
      <w:r w:rsidRPr="00880CDA">
        <w:rPr>
          <w:rFonts w:cstheme="minorHAnsi"/>
        </w:rPr>
        <w:t xml:space="preserve">As with other NHS indemnities, claims made or paid months or even years later that stem from activity during the service period of the Designated Setting Indemnity Support will be covered by the indemnity.  </w:t>
      </w:r>
    </w:p>
    <w:p w14:paraId="0B0DEA54" w14:textId="0F9339A0" w:rsidR="00C56C6A" w:rsidRPr="00880CDA" w:rsidRDefault="00E127A8">
      <w:pPr>
        <w:rPr>
          <w:b/>
          <w:bCs/>
        </w:rPr>
      </w:pPr>
      <w:r w:rsidRPr="00880CDA">
        <w:rPr>
          <w:b/>
          <w:bCs/>
        </w:rPr>
        <w:t>How we plan to target and communicate the support</w:t>
      </w:r>
    </w:p>
    <w:p w14:paraId="40260715" w14:textId="0D995B4F" w:rsidR="00C56C6A" w:rsidRPr="00880CDA" w:rsidRDefault="00C56C6A">
      <w:r w:rsidRPr="00880CDA">
        <w:t xml:space="preserve">The scheme </w:t>
      </w:r>
      <w:r w:rsidR="00AF3232" w:rsidRPr="00880CDA">
        <w:t xml:space="preserve">will be </w:t>
      </w:r>
      <w:r w:rsidRPr="00880CDA">
        <w:t>carefully targeted</w:t>
      </w:r>
      <w:r w:rsidR="0094791A" w:rsidRPr="00880CDA">
        <w:t xml:space="preserve"> </w:t>
      </w:r>
      <w:r w:rsidR="00332966" w:rsidRPr="00880CDA">
        <w:t>at</w:t>
      </w:r>
      <w:r w:rsidR="0094791A" w:rsidRPr="00880CDA">
        <w:t xml:space="preserve"> </w:t>
      </w:r>
      <w:r w:rsidR="00096DAE">
        <w:t>D</w:t>
      </w:r>
      <w:r w:rsidR="0094791A" w:rsidRPr="00880CDA">
        <w:t xml:space="preserve">esignated </w:t>
      </w:r>
      <w:r w:rsidR="00096DAE">
        <w:t>S</w:t>
      </w:r>
      <w:r w:rsidR="0094791A" w:rsidRPr="00880CDA">
        <w:t xml:space="preserve">ettings for whom obtaining </w:t>
      </w:r>
      <w:r w:rsidR="00385844" w:rsidRPr="00880CDA">
        <w:t xml:space="preserve">appropriate </w:t>
      </w:r>
      <w:r w:rsidR="0094791A" w:rsidRPr="00880CDA">
        <w:t xml:space="preserve">insurance cover </w:t>
      </w:r>
      <w:r w:rsidR="00385844" w:rsidRPr="00880CDA">
        <w:t xml:space="preserve">is proving to be </w:t>
      </w:r>
      <w:r w:rsidR="0094791A" w:rsidRPr="00880CDA">
        <w:t>a barrier</w:t>
      </w:r>
      <w:r w:rsidR="00385844" w:rsidRPr="00880CDA">
        <w:t xml:space="preserve"> to operating</w:t>
      </w:r>
      <w:r w:rsidR="0094791A" w:rsidRPr="00880CDA">
        <w:t xml:space="preserve">.  </w:t>
      </w:r>
      <w:r w:rsidRPr="00880CDA">
        <w:t xml:space="preserve">We are communicating carefully with </w:t>
      </w:r>
      <w:r w:rsidR="00D04971">
        <w:t>l</w:t>
      </w:r>
      <w:r w:rsidR="00292822" w:rsidRPr="00880CDA">
        <w:t xml:space="preserve">ocal systems and </w:t>
      </w:r>
      <w:r w:rsidRPr="00880CDA">
        <w:t xml:space="preserve">the provider sector to </w:t>
      </w:r>
      <w:r w:rsidR="00292822" w:rsidRPr="00880CDA">
        <w:t xml:space="preserve">articulate the </w:t>
      </w:r>
      <w:r w:rsidRPr="00880CDA">
        <w:t xml:space="preserve">purpose of the </w:t>
      </w:r>
      <w:proofErr w:type="gramStart"/>
      <w:r w:rsidRPr="00880CDA">
        <w:t>scheme, and</w:t>
      </w:r>
      <w:proofErr w:type="gramEnd"/>
      <w:r w:rsidRPr="00880CDA">
        <w:t xml:space="preserve"> </w:t>
      </w:r>
      <w:r w:rsidR="00292822" w:rsidRPr="00880CDA">
        <w:t xml:space="preserve">help </w:t>
      </w:r>
      <w:r w:rsidR="00DC4C3E" w:rsidRPr="00880CDA">
        <w:t xml:space="preserve">ensure </w:t>
      </w:r>
      <w:r w:rsidR="00E45941" w:rsidRPr="00880CDA">
        <w:t xml:space="preserve">only those </w:t>
      </w:r>
      <w:r w:rsidR="00E53E83" w:rsidRPr="00880CDA">
        <w:t xml:space="preserve">for whom the scheme is intended make applications – </w:t>
      </w:r>
      <w:r w:rsidR="00445870" w:rsidRPr="00880CDA">
        <w:t>to</w:t>
      </w:r>
      <w:r w:rsidR="00E53E83" w:rsidRPr="00880CDA">
        <w:t xml:space="preserve"> </w:t>
      </w:r>
      <w:r w:rsidR="00FC6869">
        <w:t xml:space="preserve">ensure the most efficient process possible </w:t>
      </w:r>
      <w:r w:rsidR="00E53E83" w:rsidRPr="00880CDA">
        <w:t xml:space="preserve">when partners across the system are under </w:t>
      </w:r>
      <w:r w:rsidR="00445870" w:rsidRPr="00880CDA">
        <w:t xml:space="preserve">such </w:t>
      </w:r>
      <w:r w:rsidR="00E53E83" w:rsidRPr="00880CDA">
        <w:t xml:space="preserve">intense pressure.  </w:t>
      </w:r>
    </w:p>
    <w:p w14:paraId="2F160715" w14:textId="096334EC" w:rsidR="00C56C6A" w:rsidRPr="00880CDA" w:rsidRDefault="00E53E83">
      <w:r w:rsidRPr="00880CDA">
        <w:t xml:space="preserve">We are prioritising our engagement to the following three categories:  </w:t>
      </w:r>
    </w:p>
    <w:p w14:paraId="41509825" w14:textId="7C53F0FB" w:rsidR="00391751" w:rsidRPr="00880CDA" w:rsidRDefault="00856498" w:rsidP="00E53E83">
      <w:pPr>
        <w:pStyle w:val="ListParagraph"/>
        <w:numPr>
          <w:ilvl w:val="0"/>
          <w:numId w:val="2"/>
        </w:numPr>
        <w:ind w:left="360"/>
      </w:pPr>
      <w:r>
        <w:rPr>
          <w:b/>
          <w:bCs/>
        </w:rPr>
        <w:t xml:space="preserve">Approved </w:t>
      </w:r>
      <w:r w:rsidR="00F33BE4" w:rsidRPr="00880CDA">
        <w:rPr>
          <w:b/>
          <w:bCs/>
        </w:rPr>
        <w:t xml:space="preserve">Designated Settings not yet </w:t>
      </w:r>
      <w:r w:rsidR="002167E9" w:rsidRPr="00880CDA">
        <w:rPr>
          <w:b/>
          <w:bCs/>
        </w:rPr>
        <w:t>in operation:</w:t>
      </w:r>
      <w:r w:rsidR="002167E9" w:rsidRPr="00880CDA">
        <w:t xml:space="preserve">  </w:t>
      </w:r>
      <w:r w:rsidR="00391751" w:rsidRPr="00880CDA">
        <w:t xml:space="preserve">We are aware of a small number of care homes that have already been assured by CQC as </w:t>
      </w:r>
      <w:r w:rsidR="004E7868">
        <w:t>D</w:t>
      </w:r>
      <w:r w:rsidR="00391751" w:rsidRPr="00880CDA">
        <w:t xml:space="preserve">esignated </w:t>
      </w:r>
      <w:r w:rsidR="004E7868">
        <w:t>S</w:t>
      </w:r>
      <w:r w:rsidR="00391751" w:rsidRPr="00880CDA">
        <w:t xml:space="preserve">ettings – but who, because of their inability to secure suitable insurance, have not yet been able to open for admissions.  </w:t>
      </w:r>
      <w:r w:rsidR="00DE3E27" w:rsidRPr="00880CDA">
        <w:t xml:space="preserve">We will be reaching out </w:t>
      </w:r>
      <w:r w:rsidR="00391751" w:rsidRPr="00880CDA">
        <w:t>(through the DHSC Regional Assurance Team) to the relevant Local Authorities for those care homes</w:t>
      </w:r>
      <w:r w:rsidR="00DE3E27" w:rsidRPr="00880CDA">
        <w:t xml:space="preserve">, to suggest that they open a conversation with the provider as to whether the support </w:t>
      </w:r>
      <w:r w:rsidR="00CE736E" w:rsidRPr="00880CDA">
        <w:t>may be helpful</w:t>
      </w:r>
      <w:r w:rsidR="00391751" w:rsidRPr="00880CDA">
        <w:t xml:space="preserve">.  </w:t>
      </w:r>
    </w:p>
    <w:p w14:paraId="34617663" w14:textId="77777777" w:rsidR="00E127A8" w:rsidRPr="00880CDA" w:rsidRDefault="00E127A8" w:rsidP="00E53E83">
      <w:pPr>
        <w:pStyle w:val="ListParagraph"/>
        <w:ind w:left="360"/>
      </w:pPr>
    </w:p>
    <w:p w14:paraId="4097CBB6" w14:textId="3BEB201A" w:rsidR="00391751" w:rsidRPr="00880CDA" w:rsidRDefault="002167E9" w:rsidP="00E53E83">
      <w:pPr>
        <w:pStyle w:val="ListParagraph"/>
        <w:numPr>
          <w:ilvl w:val="0"/>
          <w:numId w:val="2"/>
        </w:numPr>
        <w:ind w:left="360"/>
      </w:pPr>
      <w:r w:rsidRPr="00880CDA">
        <w:rPr>
          <w:b/>
          <w:bCs/>
        </w:rPr>
        <w:t xml:space="preserve">Designated Settings </w:t>
      </w:r>
      <w:r w:rsidR="005A4F61" w:rsidRPr="00880CDA">
        <w:rPr>
          <w:b/>
          <w:bCs/>
        </w:rPr>
        <w:t>currently operating</w:t>
      </w:r>
      <w:r w:rsidR="00B37CB7" w:rsidRPr="00880CDA">
        <w:rPr>
          <w:b/>
          <w:bCs/>
        </w:rPr>
        <w:t>:</w:t>
      </w:r>
      <w:r w:rsidR="005A4F61" w:rsidRPr="00880CDA">
        <w:t xml:space="preserve"> </w:t>
      </w:r>
      <w:r w:rsidR="00391751" w:rsidRPr="00880CDA">
        <w:t xml:space="preserve">We will </w:t>
      </w:r>
      <w:r w:rsidR="003829DC" w:rsidRPr="00880CDA">
        <w:t>reach out</w:t>
      </w:r>
      <w:r w:rsidR="00391751" w:rsidRPr="00880CDA">
        <w:t xml:space="preserve">– </w:t>
      </w:r>
      <w:r w:rsidR="003829DC" w:rsidRPr="00880CDA">
        <w:t xml:space="preserve">via </w:t>
      </w:r>
      <w:r w:rsidR="00391751" w:rsidRPr="00880CDA">
        <w:t>CQC –</w:t>
      </w:r>
      <w:r w:rsidR="00564E3B" w:rsidRPr="00880CDA">
        <w:t xml:space="preserve"> </w:t>
      </w:r>
      <w:r w:rsidR="00391751" w:rsidRPr="00880CDA">
        <w:t xml:space="preserve">to the care homes </w:t>
      </w:r>
      <w:r w:rsidR="00AA6A28">
        <w:t xml:space="preserve">already </w:t>
      </w:r>
      <w:r w:rsidR="00391751" w:rsidRPr="00880CDA">
        <w:t xml:space="preserve">assured by CQC as </w:t>
      </w:r>
      <w:r w:rsidR="00CB3A4A">
        <w:t>D</w:t>
      </w:r>
      <w:r w:rsidR="00391751" w:rsidRPr="00880CDA">
        <w:t xml:space="preserve">esignated </w:t>
      </w:r>
      <w:r w:rsidR="00CB3A4A">
        <w:t>S</w:t>
      </w:r>
      <w:r w:rsidR="00391751" w:rsidRPr="00880CDA">
        <w:t>ettings (</w:t>
      </w:r>
      <w:r w:rsidR="00AA6A28">
        <w:t>14</w:t>
      </w:r>
      <w:r w:rsidR="007B0C89">
        <w:t>2</w:t>
      </w:r>
      <w:r w:rsidR="009A1C60">
        <w:t xml:space="preserve"> </w:t>
      </w:r>
      <w:r w:rsidR="00391751" w:rsidRPr="00880CDA">
        <w:t>as of 1</w:t>
      </w:r>
      <w:r w:rsidR="007B0C89">
        <w:t>9</w:t>
      </w:r>
      <w:r w:rsidR="00391751" w:rsidRPr="00880CDA">
        <w:rPr>
          <w:vertAlign w:val="superscript"/>
        </w:rPr>
        <w:t>th</w:t>
      </w:r>
      <w:r w:rsidR="00391751" w:rsidRPr="00880CDA">
        <w:t xml:space="preserve"> January).  </w:t>
      </w:r>
      <w:r w:rsidR="00CC6D19">
        <w:t xml:space="preserve">Some </w:t>
      </w:r>
      <w:r w:rsidR="00BC44A8" w:rsidRPr="00880CDA">
        <w:t xml:space="preserve">providers in this group </w:t>
      </w:r>
      <w:r w:rsidR="00C91FEB" w:rsidRPr="00880CDA">
        <w:t>have told us that they anticipate challenges as they come to renew their current insurance cover (with 31</w:t>
      </w:r>
      <w:r w:rsidR="00C91FEB" w:rsidRPr="00880CDA">
        <w:rPr>
          <w:vertAlign w:val="superscript"/>
        </w:rPr>
        <w:t>st</w:t>
      </w:r>
      <w:r w:rsidR="00C91FEB" w:rsidRPr="00880CDA">
        <w:t xml:space="preserve"> January being a key date).  </w:t>
      </w:r>
      <w:r w:rsidR="00CC6D19">
        <w:t xml:space="preserve">It is also conceivable that </w:t>
      </w:r>
      <w:r w:rsidR="00CC6D19" w:rsidRPr="00880CDA">
        <w:t xml:space="preserve">a very small number of </w:t>
      </w:r>
      <w:r w:rsidR="00CC6D19">
        <w:t>settings</w:t>
      </w:r>
      <w:r w:rsidR="00CC6D19" w:rsidRPr="00880CDA">
        <w:t xml:space="preserve"> may currently be operating ‘at risk’ without suitable insurance in place.  </w:t>
      </w:r>
      <w:r w:rsidR="00FE6692" w:rsidRPr="00880CDA">
        <w:t xml:space="preserve">We will </w:t>
      </w:r>
      <w:r w:rsidR="00C91FEB" w:rsidRPr="00880CDA">
        <w:t xml:space="preserve">describe the new </w:t>
      </w:r>
      <w:r w:rsidR="00FE6692" w:rsidRPr="00880CDA">
        <w:t xml:space="preserve">support </w:t>
      </w:r>
      <w:proofErr w:type="gramStart"/>
      <w:r w:rsidR="00FE6692" w:rsidRPr="00880CDA">
        <w:t>offer</w:t>
      </w:r>
      <w:r w:rsidR="00C91FEB" w:rsidRPr="00880CDA">
        <w:t>, and</w:t>
      </w:r>
      <w:proofErr w:type="gramEnd"/>
      <w:r w:rsidR="00C91FEB" w:rsidRPr="00880CDA">
        <w:t xml:space="preserve"> su</w:t>
      </w:r>
      <w:r w:rsidR="00250045" w:rsidRPr="00880CDA">
        <w:t>g</w:t>
      </w:r>
      <w:r w:rsidR="00C91FEB" w:rsidRPr="00880CDA">
        <w:t xml:space="preserve">gest that if the care home </w:t>
      </w:r>
      <w:r w:rsidR="00FF1AD9" w:rsidRPr="00880CDA">
        <w:t xml:space="preserve">believes the scheme may be </w:t>
      </w:r>
      <w:r w:rsidR="00087026">
        <w:t xml:space="preserve">necessary and </w:t>
      </w:r>
      <w:r w:rsidR="00FF1AD9" w:rsidRPr="00880CDA">
        <w:t xml:space="preserve">suitable for them, to </w:t>
      </w:r>
      <w:r w:rsidR="00C56C6A" w:rsidRPr="00880CDA">
        <w:t xml:space="preserve">contact their commissioning Local Authority to discuss.  </w:t>
      </w:r>
    </w:p>
    <w:p w14:paraId="20540CB8" w14:textId="77777777" w:rsidR="00E127A8" w:rsidRPr="00880CDA" w:rsidRDefault="00E127A8" w:rsidP="00E53E83">
      <w:pPr>
        <w:pStyle w:val="ListParagraph"/>
        <w:ind w:left="360"/>
      </w:pPr>
    </w:p>
    <w:p w14:paraId="77517246" w14:textId="67E76B12" w:rsidR="00391751" w:rsidRPr="00880CDA" w:rsidRDefault="00C11B9C" w:rsidP="00E53E83">
      <w:pPr>
        <w:pStyle w:val="ListParagraph"/>
        <w:numPr>
          <w:ilvl w:val="0"/>
          <w:numId w:val="2"/>
        </w:numPr>
        <w:ind w:left="360"/>
      </w:pPr>
      <w:r w:rsidRPr="00880CDA">
        <w:rPr>
          <w:b/>
          <w:bCs/>
        </w:rPr>
        <w:t>Helping Local Authorities establish NEW Designated Settings:</w:t>
      </w:r>
      <w:r w:rsidRPr="00880CDA">
        <w:t xml:space="preserve">  </w:t>
      </w:r>
      <w:r w:rsidR="00E127A8" w:rsidRPr="00880CDA">
        <w:t xml:space="preserve">We </w:t>
      </w:r>
      <w:r w:rsidR="00460DF8" w:rsidRPr="00880CDA">
        <w:t xml:space="preserve">are keen that insurance issues do not hinder </w:t>
      </w:r>
      <w:r w:rsidR="00E127A8" w:rsidRPr="00880CDA">
        <w:t>Local Authorities stand</w:t>
      </w:r>
      <w:r w:rsidR="00BF7259" w:rsidRPr="00880CDA">
        <w:t>ing</w:t>
      </w:r>
      <w:r w:rsidR="00E127A8" w:rsidRPr="00880CDA">
        <w:t xml:space="preserve"> up further capacity quickly </w:t>
      </w:r>
      <w:r w:rsidR="002E0F40" w:rsidRPr="00880CDA">
        <w:t xml:space="preserve">should they need to </w:t>
      </w:r>
      <w:r w:rsidR="00E127A8" w:rsidRPr="00880CDA">
        <w:t xml:space="preserve">in response to rising local demand.  We are therefore sharing information on the scheme and how we expect it to operate in order to help </w:t>
      </w:r>
      <w:r w:rsidR="00B63F3C" w:rsidRPr="00880CDA">
        <w:t xml:space="preserve">Local Authorities </w:t>
      </w:r>
      <w:r w:rsidR="00E127A8" w:rsidRPr="00880CDA">
        <w:t xml:space="preserve">plan.  </w:t>
      </w:r>
      <w:r w:rsidR="00B63F3C" w:rsidRPr="00880CDA">
        <w:t xml:space="preserve">And with </w:t>
      </w:r>
      <w:r w:rsidR="00856498">
        <w:t xml:space="preserve">the </w:t>
      </w:r>
      <w:r w:rsidR="00B63F3C" w:rsidRPr="00880CDA">
        <w:t xml:space="preserve">CQC we have set out how the support will align with the existing process by which CQC inspect and assure providers.  </w:t>
      </w:r>
    </w:p>
    <w:p w14:paraId="220E13A9" w14:textId="77777777" w:rsidR="00E127A8" w:rsidRPr="00880CDA" w:rsidRDefault="00E127A8" w:rsidP="00E127A8">
      <w:pPr>
        <w:pStyle w:val="ListParagraph"/>
      </w:pPr>
    </w:p>
    <w:p w14:paraId="5936B016" w14:textId="24DA8996" w:rsidR="00E127A8" w:rsidRPr="00880CDA" w:rsidRDefault="00E127A8" w:rsidP="00E127A8">
      <w:pPr>
        <w:rPr>
          <w:b/>
          <w:bCs/>
        </w:rPr>
      </w:pPr>
      <w:r w:rsidRPr="00880CDA">
        <w:rPr>
          <w:b/>
          <w:bCs/>
        </w:rPr>
        <w:t>How the application process will work in practice</w:t>
      </w:r>
    </w:p>
    <w:p w14:paraId="7702C6BC" w14:textId="58C24A40" w:rsidR="00E127A8" w:rsidRPr="00880CDA" w:rsidRDefault="00E127A8" w:rsidP="00E127A8">
      <w:r w:rsidRPr="00880CDA">
        <w:t xml:space="preserve">Please find attached a flowchart diagram that sets out what we anticipate the </w:t>
      </w:r>
      <w:r w:rsidR="003C3DAF" w:rsidRPr="00880CDA">
        <w:t xml:space="preserve">process will look like under each </w:t>
      </w:r>
      <w:r w:rsidR="00CC6A0A" w:rsidRPr="00880CDA">
        <w:t xml:space="preserve">of the </w:t>
      </w:r>
      <w:r w:rsidR="003C3DAF" w:rsidRPr="00880CDA">
        <w:t>three scenarios described above.</w:t>
      </w:r>
      <w:r w:rsidRPr="00880CDA">
        <w:t xml:space="preserve">  </w:t>
      </w:r>
    </w:p>
    <w:p w14:paraId="0236AC88" w14:textId="25AF1688" w:rsidR="00E127A8" w:rsidRPr="00880CDA" w:rsidRDefault="00856498" w:rsidP="00E127A8">
      <w:r>
        <w:t>C</w:t>
      </w:r>
      <w:r w:rsidR="00E127A8" w:rsidRPr="00880CDA">
        <w:t>lose working will be required with local NHS partners – both CCG and NHS Provider Trusts</w:t>
      </w:r>
      <w:r w:rsidR="00CA38D5" w:rsidRPr="00880CDA">
        <w:t xml:space="preserve"> </w:t>
      </w:r>
      <w:r>
        <w:t xml:space="preserve">(Hospital and Community) </w:t>
      </w:r>
      <w:r w:rsidR="00FD5013" w:rsidRPr="00880CDA">
        <w:t xml:space="preserve">- </w:t>
      </w:r>
      <w:r w:rsidR="00CA38D5" w:rsidRPr="00880CDA">
        <w:t>to put the arrangements in place</w:t>
      </w:r>
      <w:r w:rsidR="00E127A8" w:rsidRPr="00880CDA">
        <w:t>.  The reason for the involvement of the latter</w:t>
      </w:r>
      <w:r w:rsidR="008B28A5">
        <w:t xml:space="preserve"> </w:t>
      </w:r>
      <w:r w:rsidR="00E127A8" w:rsidRPr="00880CDA">
        <w:t xml:space="preserve">is that the Trust will need to sub-contract </w:t>
      </w:r>
      <w:r w:rsidR="00022EA6" w:rsidRPr="00880CDA">
        <w:t>with</w:t>
      </w:r>
      <w:r w:rsidR="00E127A8" w:rsidRPr="00880CDA">
        <w:t xml:space="preserve"> the care home </w:t>
      </w:r>
      <w:proofErr w:type="gramStart"/>
      <w:r w:rsidR="00E127A8" w:rsidRPr="00880CDA">
        <w:t xml:space="preserve">in order </w:t>
      </w:r>
      <w:r w:rsidR="00F668F9" w:rsidRPr="00880CDA">
        <w:t>for</w:t>
      </w:r>
      <w:proofErr w:type="gramEnd"/>
      <w:r w:rsidR="00F668F9" w:rsidRPr="00880CDA">
        <w:t xml:space="preserve"> </w:t>
      </w:r>
      <w:r w:rsidR="00827B59">
        <w:t>D</w:t>
      </w:r>
      <w:r w:rsidR="00F668F9" w:rsidRPr="00880CDA">
        <w:t xml:space="preserve">esignated </w:t>
      </w:r>
      <w:r w:rsidR="00827B59">
        <w:t>S</w:t>
      </w:r>
      <w:r w:rsidR="00F668F9" w:rsidRPr="00880CDA">
        <w:t>ettings to access the contractual indemnities being offered</w:t>
      </w:r>
      <w:r w:rsidR="0011481A" w:rsidRPr="00880CDA">
        <w:t>.</w:t>
      </w:r>
      <w:r w:rsidR="00AA406C" w:rsidRPr="00880CDA">
        <w:t xml:space="preserve">  The CCG </w:t>
      </w:r>
      <w:r w:rsidR="00096DAE">
        <w:t xml:space="preserve">will need to commission the service from the trust, and </w:t>
      </w:r>
      <w:r w:rsidR="00AA406C" w:rsidRPr="00880CDA">
        <w:t>C</w:t>
      </w:r>
      <w:r w:rsidR="00D71CAD" w:rsidRPr="00880CDA">
        <w:t xml:space="preserve">CG </w:t>
      </w:r>
      <w:r w:rsidR="00096DAE">
        <w:t xml:space="preserve">will draw </w:t>
      </w:r>
      <w:r w:rsidR="00D71CAD" w:rsidRPr="00880CDA">
        <w:t xml:space="preserve">down from the £588m Discharge to Assess funding stream from which Designated Settings are funded.  </w:t>
      </w:r>
    </w:p>
    <w:p w14:paraId="5937E6DF" w14:textId="6DD2CC84" w:rsidR="00D71CAD" w:rsidRDefault="00D71CAD" w:rsidP="00D71CAD">
      <w:r w:rsidRPr="00880CDA">
        <w:t xml:space="preserve">DHSC will operate a swift process for approving all those who are able to benefit from the Designated Settings Indemnity Support, taking account of </w:t>
      </w:r>
      <w:r w:rsidR="00856498">
        <w:t>needs</w:t>
      </w:r>
      <w:r w:rsidR="008B28A5">
        <w:t>-</w:t>
      </w:r>
      <w:r w:rsidR="00856498">
        <w:t xml:space="preserve">led </w:t>
      </w:r>
      <w:r w:rsidRPr="00880CDA">
        <w:t xml:space="preserve">capacity </w:t>
      </w:r>
      <w:r w:rsidR="00856498">
        <w:t>requirement</w:t>
      </w:r>
      <w:r w:rsidRPr="00880CDA">
        <w:t xml:space="preserve"> and proportionality of the request for state support</w:t>
      </w:r>
      <w:r w:rsidR="00856498">
        <w:t xml:space="preserve"> (for example in the case of a provider operating a Designated Setting as one of multiple sites, whether their existing insurance arrangements will allow the Designated Setting to be treated separately, or if the indemnity will need to apply across the wider business)</w:t>
      </w:r>
      <w:r w:rsidRPr="00880CDA">
        <w:t xml:space="preserve">. This </w:t>
      </w:r>
      <w:r w:rsidR="00856498">
        <w:t xml:space="preserve">process </w:t>
      </w:r>
      <w:r w:rsidRPr="00880CDA">
        <w:t>will operate alongside existing CQC assurance processes for all new Designated Settings</w:t>
      </w:r>
      <w:r w:rsidR="009D3707">
        <w:t>.</w:t>
      </w:r>
    </w:p>
    <w:p w14:paraId="14FF4146" w14:textId="1EAA4731" w:rsidR="009A1C60" w:rsidRPr="00880CDA" w:rsidRDefault="009A1C60" w:rsidP="00D71CAD">
      <w:r>
        <w:t xml:space="preserve">We will keep the application process under review in the coming </w:t>
      </w:r>
      <w:proofErr w:type="gramStart"/>
      <w:r>
        <w:t>weeks, and</w:t>
      </w:r>
      <w:proofErr w:type="gramEnd"/>
      <w:r>
        <w:t xml:space="preserve"> may adapt if necessary as we draw on lessons from the operation of the new arrangements.  </w:t>
      </w:r>
    </w:p>
    <w:p w14:paraId="66B9E138" w14:textId="77777777" w:rsidR="00C0119B" w:rsidRPr="00880CDA" w:rsidRDefault="00C0119B" w:rsidP="00C0119B">
      <w:pPr>
        <w:rPr>
          <w:b/>
          <w:bCs/>
        </w:rPr>
      </w:pPr>
      <w:r w:rsidRPr="00880CDA">
        <w:rPr>
          <w:b/>
          <w:bCs/>
        </w:rPr>
        <w:t>Where to direct further questions</w:t>
      </w:r>
    </w:p>
    <w:p w14:paraId="50E95AEC" w14:textId="49B65840" w:rsidR="00AB1CC4" w:rsidRDefault="00C0119B" w:rsidP="00C0119B">
      <w:r w:rsidRPr="00880CDA">
        <w:t xml:space="preserve">We appreciate that there will be </w:t>
      </w:r>
      <w:proofErr w:type="gramStart"/>
      <w:r w:rsidRPr="00880CDA">
        <w:t>a number of</w:t>
      </w:r>
      <w:proofErr w:type="gramEnd"/>
      <w:r w:rsidRPr="00880CDA">
        <w:t xml:space="preserve"> outstanding issues </w:t>
      </w:r>
      <w:r w:rsidR="00631CC5" w:rsidRPr="00880CDA">
        <w:t>and will pr</w:t>
      </w:r>
      <w:r w:rsidR="002642C0" w:rsidRPr="00880CDA">
        <w:t>o</w:t>
      </w:r>
      <w:r w:rsidR="00631CC5" w:rsidRPr="00880CDA">
        <w:t>vide further details</w:t>
      </w:r>
      <w:r w:rsidR="009D3707">
        <w:t xml:space="preserve"> and template documents</w:t>
      </w:r>
      <w:r w:rsidR="00631CC5" w:rsidRPr="00880CDA">
        <w:t xml:space="preserve"> in the coming days.  </w:t>
      </w:r>
    </w:p>
    <w:p w14:paraId="2C44C680" w14:textId="026840CF" w:rsidR="00AB1CC4" w:rsidRDefault="00AB1CC4" w:rsidP="00C0119B">
      <w:r w:rsidRPr="00880CDA">
        <w:t xml:space="preserve">An information pack </w:t>
      </w:r>
      <w:r>
        <w:t xml:space="preserve">with further details about how </w:t>
      </w:r>
      <w:r w:rsidRPr="00880CDA">
        <w:t xml:space="preserve">the </w:t>
      </w:r>
      <w:r>
        <w:t xml:space="preserve">support </w:t>
      </w:r>
      <w:r w:rsidRPr="00880CDA">
        <w:t xml:space="preserve">will operate </w:t>
      </w:r>
      <w:r>
        <w:t xml:space="preserve">in practice can be requested for those providers eligible to access the </w:t>
      </w:r>
      <w:proofErr w:type="gramStart"/>
      <w:r>
        <w:t>scheme, and</w:t>
      </w:r>
      <w:proofErr w:type="gramEnd"/>
      <w:r>
        <w:t xml:space="preserve"> will be shared proactively with Local systems.  </w:t>
      </w:r>
    </w:p>
    <w:p w14:paraId="0402048E" w14:textId="788C3795" w:rsidR="00C0119B" w:rsidRPr="00880CDA" w:rsidRDefault="00631CC5" w:rsidP="00C0119B">
      <w:r w:rsidRPr="00880CDA">
        <w:t xml:space="preserve">As we move into the operational phase, </w:t>
      </w:r>
      <w:r w:rsidR="002642C0" w:rsidRPr="00880CDA">
        <w:t xml:space="preserve">hands-on advice and support will be available to Local </w:t>
      </w:r>
      <w:r w:rsidR="007E494F" w:rsidRPr="00880CDA">
        <w:t>Authorities</w:t>
      </w:r>
      <w:r w:rsidR="002642C0" w:rsidRPr="00880CDA">
        <w:t xml:space="preserve"> and their local partners via:</w:t>
      </w:r>
    </w:p>
    <w:p w14:paraId="7AF46FB3" w14:textId="387CE4E8" w:rsidR="00E17043" w:rsidRPr="00880CDA" w:rsidRDefault="002D1C4F" w:rsidP="007F2881">
      <w:pPr>
        <w:pStyle w:val="ListParagraph"/>
        <w:numPr>
          <w:ilvl w:val="0"/>
          <w:numId w:val="3"/>
        </w:numPr>
      </w:pPr>
      <w:r w:rsidRPr="00880CDA">
        <w:t xml:space="preserve">Care and Health Improvement Advisors (CHIAs) </w:t>
      </w:r>
      <w:r w:rsidR="00C104BC" w:rsidRPr="00880CDA">
        <w:t xml:space="preserve">from the ADASS/LGA programme, who </w:t>
      </w:r>
      <w:r w:rsidR="007F2881" w:rsidRPr="00880CDA">
        <w:t xml:space="preserve">will be able to </w:t>
      </w:r>
      <w:r w:rsidR="00856498">
        <w:t xml:space="preserve">make available bespoke support for local systems in </w:t>
      </w:r>
      <w:proofErr w:type="gramStart"/>
      <w:r w:rsidR="00856498">
        <w:t>taking action</w:t>
      </w:r>
      <w:proofErr w:type="gramEnd"/>
      <w:r w:rsidR="00856498">
        <w:t xml:space="preserve"> under three categories above, to ensure that local systems are aware of all relevant information and advice.  </w:t>
      </w:r>
    </w:p>
    <w:p w14:paraId="70506582" w14:textId="3389C99E" w:rsidR="00096DAE" w:rsidRDefault="00E04997" w:rsidP="00096DAE">
      <w:pPr>
        <w:pStyle w:val="ListParagraph"/>
        <w:numPr>
          <w:ilvl w:val="0"/>
          <w:numId w:val="3"/>
        </w:numPr>
      </w:pPr>
      <w:r w:rsidRPr="00880CDA">
        <w:t>NH</w:t>
      </w:r>
      <w:r w:rsidR="00096DAE">
        <w:t>S</w:t>
      </w:r>
      <w:r w:rsidRPr="00880CDA">
        <w:t xml:space="preserve">E/I </w:t>
      </w:r>
      <w:r w:rsidR="007F2881" w:rsidRPr="00880CDA">
        <w:t xml:space="preserve">who will be able to </w:t>
      </w:r>
      <w:r w:rsidR="00096DAE">
        <w:t>support through their regional teams and escalate issues nationally.</w:t>
      </w:r>
      <w:r w:rsidR="00096DAE" w:rsidRPr="00880CDA">
        <w:t xml:space="preserve"> </w:t>
      </w:r>
    </w:p>
    <w:p w14:paraId="292D8973" w14:textId="77777777" w:rsidR="005E327F" w:rsidRDefault="009A1C60" w:rsidP="005E327F">
      <w:pPr>
        <w:pStyle w:val="ListParagraph"/>
        <w:numPr>
          <w:ilvl w:val="0"/>
          <w:numId w:val="3"/>
        </w:numPr>
      </w:pPr>
      <w:r w:rsidRPr="00880CDA">
        <w:t xml:space="preserve">The DHSC </w:t>
      </w:r>
      <w:r>
        <w:t>R</w:t>
      </w:r>
      <w:r w:rsidRPr="00880CDA">
        <w:t>egional Assurance Team</w:t>
      </w:r>
      <w:r>
        <w:t xml:space="preserve"> – who can provide support to local systems to operationalise the indemnity support </w:t>
      </w:r>
      <w:proofErr w:type="gramStart"/>
      <w:r>
        <w:t>offer, and</w:t>
      </w:r>
      <w:proofErr w:type="gramEnd"/>
      <w:r>
        <w:t xml:space="preserve"> help ensure sufficient Designated Settings capacity more broadly.  </w:t>
      </w:r>
    </w:p>
    <w:p w14:paraId="6EEC98E0" w14:textId="52FED4D9" w:rsidR="005E327F" w:rsidRDefault="00096DAE" w:rsidP="005E327F">
      <w:pPr>
        <w:pStyle w:val="ListParagraph"/>
        <w:numPr>
          <w:ilvl w:val="0"/>
          <w:numId w:val="3"/>
        </w:numPr>
      </w:pPr>
      <w:r>
        <w:t xml:space="preserve">The Better Care Fund Team - who can provide further advice and guidance on the operation of the scheme.  Information packs can be requested by local system partners from </w:t>
      </w:r>
      <w:hyperlink r:id="rId11" w:history="1">
        <w:r w:rsidR="005E327F">
          <w:rPr>
            <w:rStyle w:val="Hyperlink"/>
          </w:rPr>
          <w:t>england.bettercarefundteam@nhs.net</w:t>
        </w:r>
      </w:hyperlink>
    </w:p>
    <w:p w14:paraId="18756842" w14:textId="035B5A63" w:rsidR="00E04997" w:rsidRPr="00880CDA" w:rsidRDefault="00E04997" w:rsidP="005E327F">
      <w:pPr>
        <w:pStyle w:val="ListParagraph"/>
        <w:ind w:left="360"/>
      </w:pPr>
    </w:p>
    <w:p w14:paraId="0DFB738F" w14:textId="028CFD09" w:rsidR="009A0DEE" w:rsidRPr="00880CDA" w:rsidRDefault="009A0DEE" w:rsidP="00E127A8"/>
    <w:p w14:paraId="4CF2B281" w14:textId="6EDD12A9" w:rsidR="00E127A8" w:rsidRPr="00880CDA" w:rsidRDefault="00E127A8" w:rsidP="00E127A8"/>
    <w:p w14:paraId="3221CF10" w14:textId="77777777" w:rsidR="00E127A8" w:rsidRPr="00880CDA" w:rsidRDefault="00E127A8" w:rsidP="00E127A8"/>
    <w:sectPr w:rsidR="00E127A8" w:rsidRPr="00880CD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3FEB" w14:textId="77777777" w:rsidR="00794F2E" w:rsidRDefault="00794F2E" w:rsidP="007F2881">
      <w:pPr>
        <w:spacing w:after="0" w:line="240" w:lineRule="auto"/>
      </w:pPr>
      <w:r>
        <w:separator/>
      </w:r>
    </w:p>
  </w:endnote>
  <w:endnote w:type="continuationSeparator" w:id="0">
    <w:p w14:paraId="38B70579" w14:textId="77777777" w:rsidR="00794F2E" w:rsidRDefault="00794F2E" w:rsidP="007F2881">
      <w:pPr>
        <w:spacing w:after="0" w:line="240" w:lineRule="auto"/>
      </w:pPr>
      <w:r>
        <w:continuationSeparator/>
      </w:r>
    </w:p>
  </w:endnote>
  <w:endnote w:type="continuationNotice" w:id="1">
    <w:p w14:paraId="70857A9B" w14:textId="77777777" w:rsidR="00794F2E" w:rsidRDefault="00794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DB49" w14:textId="77777777" w:rsidR="00794F2E" w:rsidRDefault="00794F2E" w:rsidP="007F2881">
      <w:pPr>
        <w:spacing w:after="0" w:line="240" w:lineRule="auto"/>
      </w:pPr>
      <w:r>
        <w:separator/>
      </w:r>
    </w:p>
  </w:footnote>
  <w:footnote w:type="continuationSeparator" w:id="0">
    <w:p w14:paraId="468A6338" w14:textId="77777777" w:rsidR="00794F2E" w:rsidRDefault="00794F2E" w:rsidP="007F2881">
      <w:pPr>
        <w:spacing w:after="0" w:line="240" w:lineRule="auto"/>
      </w:pPr>
      <w:r>
        <w:continuationSeparator/>
      </w:r>
    </w:p>
  </w:footnote>
  <w:footnote w:type="continuationNotice" w:id="1">
    <w:p w14:paraId="021A70A2" w14:textId="77777777" w:rsidR="00794F2E" w:rsidRDefault="00794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1429" w14:textId="25B24EED" w:rsidR="007F2881" w:rsidRDefault="007F2881" w:rsidP="007F28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4B8"/>
    <w:multiLevelType w:val="hybridMultilevel"/>
    <w:tmpl w:val="24BED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A0775"/>
    <w:multiLevelType w:val="hybridMultilevel"/>
    <w:tmpl w:val="FFFFFFFF"/>
    <w:lvl w:ilvl="0" w:tplc="7E7497F0">
      <w:start w:val="1"/>
      <w:numFmt w:val="bullet"/>
      <w:lvlText w:val=""/>
      <w:lvlJc w:val="left"/>
      <w:pPr>
        <w:ind w:left="720" w:hanging="360"/>
      </w:pPr>
      <w:rPr>
        <w:rFonts w:ascii="Symbol" w:hAnsi="Symbol" w:hint="default"/>
      </w:rPr>
    </w:lvl>
    <w:lvl w:ilvl="1" w:tplc="39889B7E">
      <w:start w:val="1"/>
      <w:numFmt w:val="bullet"/>
      <w:lvlText w:val="o"/>
      <w:lvlJc w:val="left"/>
      <w:pPr>
        <w:ind w:left="1440" w:hanging="360"/>
      </w:pPr>
      <w:rPr>
        <w:rFonts w:ascii="Courier New" w:hAnsi="Courier New" w:hint="default"/>
      </w:rPr>
    </w:lvl>
    <w:lvl w:ilvl="2" w:tplc="DAE8747E">
      <w:start w:val="1"/>
      <w:numFmt w:val="bullet"/>
      <w:lvlText w:val=""/>
      <w:lvlJc w:val="left"/>
      <w:pPr>
        <w:ind w:left="2160" w:hanging="360"/>
      </w:pPr>
      <w:rPr>
        <w:rFonts w:ascii="Wingdings" w:hAnsi="Wingdings" w:hint="default"/>
      </w:rPr>
    </w:lvl>
    <w:lvl w:ilvl="3" w:tplc="7FA2D1FA">
      <w:start w:val="1"/>
      <w:numFmt w:val="bullet"/>
      <w:lvlText w:val=""/>
      <w:lvlJc w:val="left"/>
      <w:pPr>
        <w:ind w:left="2880" w:hanging="360"/>
      </w:pPr>
      <w:rPr>
        <w:rFonts w:ascii="Symbol" w:hAnsi="Symbol" w:hint="default"/>
      </w:rPr>
    </w:lvl>
    <w:lvl w:ilvl="4" w:tplc="E146C3BE">
      <w:start w:val="1"/>
      <w:numFmt w:val="bullet"/>
      <w:lvlText w:val="o"/>
      <w:lvlJc w:val="left"/>
      <w:pPr>
        <w:ind w:left="3600" w:hanging="360"/>
      </w:pPr>
      <w:rPr>
        <w:rFonts w:ascii="Courier New" w:hAnsi="Courier New" w:hint="default"/>
      </w:rPr>
    </w:lvl>
    <w:lvl w:ilvl="5" w:tplc="D0F874C2">
      <w:start w:val="1"/>
      <w:numFmt w:val="bullet"/>
      <w:lvlText w:val=""/>
      <w:lvlJc w:val="left"/>
      <w:pPr>
        <w:ind w:left="4320" w:hanging="360"/>
      </w:pPr>
      <w:rPr>
        <w:rFonts w:ascii="Wingdings" w:hAnsi="Wingdings" w:hint="default"/>
      </w:rPr>
    </w:lvl>
    <w:lvl w:ilvl="6" w:tplc="C0A0491C">
      <w:start w:val="1"/>
      <w:numFmt w:val="bullet"/>
      <w:lvlText w:val=""/>
      <w:lvlJc w:val="left"/>
      <w:pPr>
        <w:ind w:left="5040" w:hanging="360"/>
      </w:pPr>
      <w:rPr>
        <w:rFonts w:ascii="Symbol" w:hAnsi="Symbol" w:hint="default"/>
      </w:rPr>
    </w:lvl>
    <w:lvl w:ilvl="7" w:tplc="1BBEBB04">
      <w:start w:val="1"/>
      <w:numFmt w:val="bullet"/>
      <w:lvlText w:val="o"/>
      <w:lvlJc w:val="left"/>
      <w:pPr>
        <w:ind w:left="5760" w:hanging="360"/>
      </w:pPr>
      <w:rPr>
        <w:rFonts w:ascii="Courier New" w:hAnsi="Courier New" w:hint="default"/>
      </w:rPr>
    </w:lvl>
    <w:lvl w:ilvl="8" w:tplc="0D0826FE">
      <w:start w:val="1"/>
      <w:numFmt w:val="bullet"/>
      <w:lvlText w:val=""/>
      <w:lvlJc w:val="left"/>
      <w:pPr>
        <w:ind w:left="6480" w:hanging="360"/>
      </w:pPr>
      <w:rPr>
        <w:rFonts w:ascii="Wingdings" w:hAnsi="Wingdings" w:hint="default"/>
      </w:rPr>
    </w:lvl>
  </w:abstractNum>
  <w:abstractNum w:abstractNumId="2" w15:restartNumberingAfterBreak="0">
    <w:nsid w:val="4BF717C6"/>
    <w:multiLevelType w:val="hybridMultilevel"/>
    <w:tmpl w:val="69D0D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96FBB"/>
    <w:multiLevelType w:val="hybridMultilevel"/>
    <w:tmpl w:val="3B5CB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51"/>
    <w:rsid w:val="00000C79"/>
    <w:rsid w:val="00006C14"/>
    <w:rsid w:val="000105C1"/>
    <w:rsid w:val="00022EA6"/>
    <w:rsid w:val="00031273"/>
    <w:rsid w:val="00032977"/>
    <w:rsid w:val="00062C92"/>
    <w:rsid w:val="00081E29"/>
    <w:rsid w:val="000822E7"/>
    <w:rsid w:val="00082583"/>
    <w:rsid w:val="00087026"/>
    <w:rsid w:val="00096DAE"/>
    <w:rsid w:val="000979EA"/>
    <w:rsid w:val="000A549A"/>
    <w:rsid w:val="000B1A4F"/>
    <w:rsid w:val="000B260C"/>
    <w:rsid w:val="000B5FF4"/>
    <w:rsid w:val="000C0DD8"/>
    <w:rsid w:val="000C43D7"/>
    <w:rsid w:val="000C6A49"/>
    <w:rsid w:val="000D5DFB"/>
    <w:rsid w:val="000D74EC"/>
    <w:rsid w:val="000E14DC"/>
    <w:rsid w:val="000F46F1"/>
    <w:rsid w:val="00106FF4"/>
    <w:rsid w:val="0011192E"/>
    <w:rsid w:val="0011481A"/>
    <w:rsid w:val="0011721F"/>
    <w:rsid w:val="0013322C"/>
    <w:rsid w:val="001337A2"/>
    <w:rsid w:val="001433B3"/>
    <w:rsid w:val="00145F10"/>
    <w:rsid w:val="0017690E"/>
    <w:rsid w:val="00186968"/>
    <w:rsid w:val="001921D2"/>
    <w:rsid w:val="001C1FA8"/>
    <w:rsid w:val="001C3004"/>
    <w:rsid w:val="001C5B00"/>
    <w:rsid w:val="001D0B5A"/>
    <w:rsid w:val="001D2A99"/>
    <w:rsid w:val="001F3CAB"/>
    <w:rsid w:val="001F7453"/>
    <w:rsid w:val="00203C4D"/>
    <w:rsid w:val="00210E7F"/>
    <w:rsid w:val="002167E9"/>
    <w:rsid w:val="002202AF"/>
    <w:rsid w:val="0023248D"/>
    <w:rsid w:val="00250045"/>
    <w:rsid w:val="00250657"/>
    <w:rsid w:val="00260163"/>
    <w:rsid w:val="002642C0"/>
    <w:rsid w:val="002800B6"/>
    <w:rsid w:val="00292822"/>
    <w:rsid w:val="00294350"/>
    <w:rsid w:val="002969F8"/>
    <w:rsid w:val="002B2438"/>
    <w:rsid w:val="002C6745"/>
    <w:rsid w:val="002D1C4F"/>
    <w:rsid w:val="002D2A48"/>
    <w:rsid w:val="002E0F40"/>
    <w:rsid w:val="002E5710"/>
    <w:rsid w:val="0030639C"/>
    <w:rsid w:val="00307AED"/>
    <w:rsid w:val="00327E14"/>
    <w:rsid w:val="0033294D"/>
    <w:rsid w:val="00332966"/>
    <w:rsid w:val="00334184"/>
    <w:rsid w:val="00342EE3"/>
    <w:rsid w:val="00343CAF"/>
    <w:rsid w:val="00351C2F"/>
    <w:rsid w:val="003738F4"/>
    <w:rsid w:val="003829DC"/>
    <w:rsid w:val="00385844"/>
    <w:rsid w:val="00385FE6"/>
    <w:rsid w:val="00390824"/>
    <w:rsid w:val="00391751"/>
    <w:rsid w:val="0039304B"/>
    <w:rsid w:val="003A48FD"/>
    <w:rsid w:val="003A5A4F"/>
    <w:rsid w:val="003A5F71"/>
    <w:rsid w:val="003C259E"/>
    <w:rsid w:val="003C3DAF"/>
    <w:rsid w:val="003C58A2"/>
    <w:rsid w:val="003D7051"/>
    <w:rsid w:val="003E744F"/>
    <w:rsid w:val="0040729B"/>
    <w:rsid w:val="00416D64"/>
    <w:rsid w:val="004200CF"/>
    <w:rsid w:val="004211E7"/>
    <w:rsid w:val="004401FD"/>
    <w:rsid w:val="00445870"/>
    <w:rsid w:val="00450FAB"/>
    <w:rsid w:val="0045343A"/>
    <w:rsid w:val="00454527"/>
    <w:rsid w:val="00460DF8"/>
    <w:rsid w:val="00461C30"/>
    <w:rsid w:val="004B3477"/>
    <w:rsid w:val="004C499A"/>
    <w:rsid w:val="004C564C"/>
    <w:rsid w:val="004D3B61"/>
    <w:rsid w:val="004E2A0C"/>
    <w:rsid w:val="004E4A4D"/>
    <w:rsid w:val="004E7868"/>
    <w:rsid w:val="00505E71"/>
    <w:rsid w:val="00522CDA"/>
    <w:rsid w:val="005273EC"/>
    <w:rsid w:val="005366D3"/>
    <w:rsid w:val="00536F48"/>
    <w:rsid w:val="00541ABF"/>
    <w:rsid w:val="00542C76"/>
    <w:rsid w:val="005550DF"/>
    <w:rsid w:val="00564E3B"/>
    <w:rsid w:val="00567A8C"/>
    <w:rsid w:val="00583F15"/>
    <w:rsid w:val="005869F3"/>
    <w:rsid w:val="005A2708"/>
    <w:rsid w:val="005A37C5"/>
    <w:rsid w:val="005A4F61"/>
    <w:rsid w:val="005B20BF"/>
    <w:rsid w:val="005B2FA1"/>
    <w:rsid w:val="005C74C9"/>
    <w:rsid w:val="005E327F"/>
    <w:rsid w:val="0060044B"/>
    <w:rsid w:val="00601337"/>
    <w:rsid w:val="00626178"/>
    <w:rsid w:val="00627A37"/>
    <w:rsid w:val="00631CC5"/>
    <w:rsid w:val="00632CE0"/>
    <w:rsid w:val="00633385"/>
    <w:rsid w:val="006346B1"/>
    <w:rsid w:val="00640D17"/>
    <w:rsid w:val="00646023"/>
    <w:rsid w:val="00647080"/>
    <w:rsid w:val="00670D22"/>
    <w:rsid w:val="006743D5"/>
    <w:rsid w:val="006A3DCC"/>
    <w:rsid w:val="006B1416"/>
    <w:rsid w:val="006B41F0"/>
    <w:rsid w:val="006B54B6"/>
    <w:rsid w:val="006C36F5"/>
    <w:rsid w:val="006C4DA2"/>
    <w:rsid w:val="006C5DE6"/>
    <w:rsid w:val="006D15D7"/>
    <w:rsid w:val="006E2578"/>
    <w:rsid w:val="006E559F"/>
    <w:rsid w:val="006F247B"/>
    <w:rsid w:val="006F6F35"/>
    <w:rsid w:val="0071503E"/>
    <w:rsid w:val="0072020D"/>
    <w:rsid w:val="007204C7"/>
    <w:rsid w:val="00724808"/>
    <w:rsid w:val="00740198"/>
    <w:rsid w:val="00741920"/>
    <w:rsid w:val="00741E87"/>
    <w:rsid w:val="00747E86"/>
    <w:rsid w:val="007575E4"/>
    <w:rsid w:val="007656E0"/>
    <w:rsid w:val="00771DD5"/>
    <w:rsid w:val="00773913"/>
    <w:rsid w:val="00783E16"/>
    <w:rsid w:val="00787061"/>
    <w:rsid w:val="00794A0C"/>
    <w:rsid w:val="00794F2E"/>
    <w:rsid w:val="007A6FCF"/>
    <w:rsid w:val="007B0C89"/>
    <w:rsid w:val="007B1731"/>
    <w:rsid w:val="007B5E0F"/>
    <w:rsid w:val="007C3E2A"/>
    <w:rsid w:val="007C7E5D"/>
    <w:rsid w:val="007E494F"/>
    <w:rsid w:val="007E6F40"/>
    <w:rsid w:val="007E724F"/>
    <w:rsid w:val="007F2881"/>
    <w:rsid w:val="00812E7D"/>
    <w:rsid w:val="008167C0"/>
    <w:rsid w:val="00827B59"/>
    <w:rsid w:val="00833E51"/>
    <w:rsid w:val="00840A5F"/>
    <w:rsid w:val="00853C7B"/>
    <w:rsid w:val="0085434F"/>
    <w:rsid w:val="00856498"/>
    <w:rsid w:val="00857D99"/>
    <w:rsid w:val="00865C13"/>
    <w:rsid w:val="0087087F"/>
    <w:rsid w:val="00870B3F"/>
    <w:rsid w:val="0087684B"/>
    <w:rsid w:val="008769F4"/>
    <w:rsid w:val="00877B23"/>
    <w:rsid w:val="00880CDA"/>
    <w:rsid w:val="008826E7"/>
    <w:rsid w:val="00884D7A"/>
    <w:rsid w:val="0089083D"/>
    <w:rsid w:val="0089188B"/>
    <w:rsid w:val="00891F98"/>
    <w:rsid w:val="008921EB"/>
    <w:rsid w:val="00894C53"/>
    <w:rsid w:val="008A4053"/>
    <w:rsid w:val="008B104F"/>
    <w:rsid w:val="008B28A5"/>
    <w:rsid w:val="008B586E"/>
    <w:rsid w:val="008B64B7"/>
    <w:rsid w:val="008B6B79"/>
    <w:rsid w:val="008D0539"/>
    <w:rsid w:val="008D7D3C"/>
    <w:rsid w:val="00900A1F"/>
    <w:rsid w:val="009058C3"/>
    <w:rsid w:val="0094791A"/>
    <w:rsid w:val="00950B96"/>
    <w:rsid w:val="00954308"/>
    <w:rsid w:val="009604C8"/>
    <w:rsid w:val="00962C96"/>
    <w:rsid w:val="00971142"/>
    <w:rsid w:val="00984BD0"/>
    <w:rsid w:val="00986389"/>
    <w:rsid w:val="009A09EB"/>
    <w:rsid w:val="009A0DEE"/>
    <w:rsid w:val="009A17B8"/>
    <w:rsid w:val="009A1C60"/>
    <w:rsid w:val="009B6B65"/>
    <w:rsid w:val="009B7A80"/>
    <w:rsid w:val="009C730E"/>
    <w:rsid w:val="009D04E3"/>
    <w:rsid w:val="009D3707"/>
    <w:rsid w:val="009D700E"/>
    <w:rsid w:val="00A01454"/>
    <w:rsid w:val="00A137E2"/>
    <w:rsid w:val="00A30C45"/>
    <w:rsid w:val="00A36719"/>
    <w:rsid w:val="00A36E23"/>
    <w:rsid w:val="00A45FEB"/>
    <w:rsid w:val="00A5130A"/>
    <w:rsid w:val="00A670E3"/>
    <w:rsid w:val="00A7292C"/>
    <w:rsid w:val="00A72E37"/>
    <w:rsid w:val="00A9388A"/>
    <w:rsid w:val="00AA2B72"/>
    <w:rsid w:val="00AA406C"/>
    <w:rsid w:val="00AA6A28"/>
    <w:rsid w:val="00AB1CC4"/>
    <w:rsid w:val="00AB2BA5"/>
    <w:rsid w:val="00AB4C46"/>
    <w:rsid w:val="00AC1846"/>
    <w:rsid w:val="00AC1F3C"/>
    <w:rsid w:val="00AC30FE"/>
    <w:rsid w:val="00AE071A"/>
    <w:rsid w:val="00AF3232"/>
    <w:rsid w:val="00B010E3"/>
    <w:rsid w:val="00B040DD"/>
    <w:rsid w:val="00B152C6"/>
    <w:rsid w:val="00B167F8"/>
    <w:rsid w:val="00B2508C"/>
    <w:rsid w:val="00B36C79"/>
    <w:rsid w:val="00B37CB7"/>
    <w:rsid w:val="00B63F39"/>
    <w:rsid w:val="00B63F3C"/>
    <w:rsid w:val="00B719AE"/>
    <w:rsid w:val="00B8349A"/>
    <w:rsid w:val="00B911C4"/>
    <w:rsid w:val="00BA0672"/>
    <w:rsid w:val="00BA1EC4"/>
    <w:rsid w:val="00BA20D7"/>
    <w:rsid w:val="00BA66BC"/>
    <w:rsid w:val="00BB2259"/>
    <w:rsid w:val="00BC44A8"/>
    <w:rsid w:val="00BC457C"/>
    <w:rsid w:val="00BC45AA"/>
    <w:rsid w:val="00BC68DA"/>
    <w:rsid w:val="00BD1F85"/>
    <w:rsid w:val="00BE3E4F"/>
    <w:rsid w:val="00BE520B"/>
    <w:rsid w:val="00BE623B"/>
    <w:rsid w:val="00BF7259"/>
    <w:rsid w:val="00C0119B"/>
    <w:rsid w:val="00C015CC"/>
    <w:rsid w:val="00C06741"/>
    <w:rsid w:val="00C104BC"/>
    <w:rsid w:val="00C11B9C"/>
    <w:rsid w:val="00C377E5"/>
    <w:rsid w:val="00C402CE"/>
    <w:rsid w:val="00C41221"/>
    <w:rsid w:val="00C437AB"/>
    <w:rsid w:val="00C51A7E"/>
    <w:rsid w:val="00C53FFD"/>
    <w:rsid w:val="00C56C6A"/>
    <w:rsid w:val="00C57CE1"/>
    <w:rsid w:val="00C6642C"/>
    <w:rsid w:val="00C83A19"/>
    <w:rsid w:val="00C9053F"/>
    <w:rsid w:val="00C91FEB"/>
    <w:rsid w:val="00CA38D5"/>
    <w:rsid w:val="00CB3A4A"/>
    <w:rsid w:val="00CB7042"/>
    <w:rsid w:val="00CC3776"/>
    <w:rsid w:val="00CC6A0A"/>
    <w:rsid w:val="00CC6D19"/>
    <w:rsid w:val="00CD5665"/>
    <w:rsid w:val="00CE52A7"/>
    <w:rsid w:val="00CE736E"/>
    <w:rsid w:val="00CF3493"/>
    <w:rsid w:val="00CF49D4"/>
    <w:rsid w:val="00D03CC2"/>
    <w:rsid w:val="00D04971"/>
    <w:rsid w:val="00D115B6"/>
    <w:rsid w:val="00D14ED3"/>
    <w:rsid w:val="00D3413B"/>
    <w:rsid w:val="00D36269"/>
    <w:rsid w:val="00D458A3"/>
    <w:rsid w:val="00D515F0"/>
    <w:rsid w:val="00D56322"/>
    <w:rsid w:val="00D61182"/>
    <w:rsid w:val="00D66EF7"/>
    <w:rsid w:val="00D71CAD"/>
    <w:rsid w:val="00D725E7"/>
    <w:rsid w:val="00D85A7C"/>
    <w:rsid w:val="00D9616B"/>
    <w:rsid w:val="00DA1CEC"/>
    <w:rsid w:val="00DB6406"/>
    <w:rsid w:val="00DC4C3E"/>
    <w:rsid w:val="00DD47E8"/>
    <w:rsid w:val="00DD5868"/>
    <w:rsid w:val="00DE3085"/>
    <w:rsid w:val="00DE3E27"/>
    <w:rsid w:val="00DE7880"/>
    <w:rsid w:val="00DF4196"/>
    <w:rsid w:val="00E04997"/>
    <w:rsid w:val="00E07C79"/>
    <w:rsid w:val="00E127A8"/>
    <w:rsid w:val="00E17043"/>
    <w:rsid w:val="00E26312"/>
    <w:rsid w:val="00E45941"/>
    <w:rsid w:val="00E53E83"/>
    <w:rsid w:val="00E56BB3"/>
    <w:rsid w:val="00E56EFA"/>
    <w:rsid w:val="00E71ACB"/>
    <w:rsid w:val="00E752F2"/>
    <w:rsid w:val="00E76E6C"/>
    <w:rsid w:val="00E833C8"/>
    <w:rsid w:val="00EB0ACF"/>
    <w:rsid w:val="00EE0AF0"/>
    <w:rsid w:val="00EE15F5"/>
    <w:rsid w:val="00EF379D"/>
    <w:rsid w:val="00F11E2D"/>
    <w:rsid w:val="00F1588A"/>
    <w:rsid w:val="00F16FD9"/>
    <w:rsid w:val="00F31C79"/>
    <w:rsid w:val="00F33BE4"/>
    <w:rsid w:val="00F4465D"/>
    <w:rsid w:val="00F44EFE"/>
    <w:rsid w:val="00F6203C"/>
    <w:rsid w:val="00F63C0F"/>
    <w:rsid w:val="00F668F9"/>
    <w:rsid w:val="00F8078D"/>
    <w:rsid w:val="00F86EB6"/>
    <w:rsid w:val="00F87B85"/>
    <w:rsid w:val="00FA13B6"/>
    <w:rsid w:val="00FB7AE2"/>
    <w:rsid w:val="00FC5E12"/>
    <w:rsid w:val="00FC6869"/>
    <w:rsid w:val="00FD5013"/>
    <w:rsid w:val="00FD7B04"/>
    <w:rsid w:val="00FE6692"/>
    <w:rsid w:val="00FF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A277"/>
  <w15:chartTrackingRefBased/>
  <w15:docId w15:val="{BB28E7C4-DAEE-48C9-AAF4-13C91390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91751"/>
    <w:pPr>
      <w:ind w:left="720"/>
      <w:contextualSpacing/>
    </w:pPr>
  </w:style>
  <w:style w:type="character" w:styleId="CommentReference">
    <w:name w:val="annotation reference"/>
    <w:basedOn w:val="DefaultParagraphFont"/>
    <w:uiPriority w:val="99"/>
    <w:semiHidden/>
    <w:unhideWhenUsed/>
    <w:rsid w:val="00391751"/>
    <w:rPr>
      <w:sz w:val="16"/>
      <w:szCs w:val="16"/>
    </w:rPr>
  </w:style>
  <w:style w:type="paragraph" w:styleId="CommentText">
    <w:name w:val="annotation text"/>
    <w:basedOn w:val="Normal"/>
    <w:link w:val="CommentTextChar"/>
    <w:uiPriority w:val="99"/>
    <w:semiHidden/>
    <w:unhideWhenUsed/>
    <w:rsid w:val="00391751"/>
    <w:pPr>
      <w:spacing w:line="240" w:lineRule="auto"/>
    </w:pPr>
    <w:rPr>
      <w:sz w:val="20"/>
      <w:szCs w:val="20"/>
    </w:rPr>
  </w:style>
  <w:style w:type="character" w:customStyle="1" w:styleId="CommentTextChar">
    <w:name w:val="Comment Text Char"/>
    <w:basedOn w:val="DefaultParagraphFont"/>
    <w:link w:val="CommentText"/>
    <w:uiPriority w:val="99"/>
    <w:semiHidden/>
    <w:rsid w:val="00391751"/>
    <w:rPr>
      <w:sz w:val="20"/>
      <w:szCs w:val="20"/>
    </w:rPr>
  </w:style>
  <w:style w:type="paragraph" w:styleId="CommentSubject">
    <w:name w:val="annotation subject"/>
    <w:basedOn w:val="CommentText"/>
    <w:next w:val="CommentText"/>
    <w:link w:val="CommentSubjectChar"/>
    <w:uiPriority w:val="99"/>
    <w:semiHidden/>
    <w:unhideWhenUsed/>
    <w:rsid w:val="00391751"/>
    <w:rPr>
      <w:b/>
      <w:bCs/>
    </w:rPr>
  </w:style>
  <w:style w:type="character" w:customStyle="1" w:styleId="CommentSubjectChar">
    <w:name w:val="Comment Subject Char"/>
    <w:basedOn w:val="CommentTextChar"/>
    <w:link w:val="CommentSubject"/>
    <w:uiPriority w:val="99"/>
    <w:semiHidden/>
    <w:rsid w:val="00391751"/>
    <w:rPr>
      <w:b/>
      <w:bCs/>
      <w:sz w:val="20"/>
      <w:szCs w:val="20"/>
    </w:rPr>
  </w:style>
  <w:style w:type="paragraph" w:styleId="BalloonText">
    <w:name w:val="Balloon Text"/>
    <w:basedOn w:val="Normal"/>
    <w:link w:val="BalloonTextChar"/>
    <w:uiPriority w:val="99"/>
    <w:semiHidden/>
    <w:unhideWhenUsed/>
    <w:rsid w:val="0039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51"/>
    <w:rPr>
      <w:rFonts w:ascii="Segoe UI" w:hAnsi="Segoe UI" w:cs="Segoe UI"/>
      <w:sz w:val="18"/>
      <w:szCs w:val="18"/>
    </w:rPr>
  </w:style>
  <w:style w:type="paragraph" w:styleId="Revision">
    <w:name w:val="Revision"/>
    <w:hidden/>
    <w:uiPriority w:val="99"/>
    <w:semiHidden/>
    <w:rsid w:val="000822E7"/>
    <w:pPr>
      <w:spacing w:after="0" w:line="240" w:lineRule="auto"/>
    </w:pPr>
  </w:style>
  <w:style w:type="paragraph" w:styleId="Header">
    <w:name w:val="header"/>
    <w:basedOn w:val="Normal"/>
    <w:link w:val="HeaderChar"/>
    <w:uiPriority w:val="99"/>
    <w:unhideWhenUsed/>
    <w:rsid w:val="007F2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81"/>
  </w:style>
  <w:style w:type="paragraph" w:styleId="Footer">
    <w:name w:val="footer"/>
    <w:basedOn w:val="Normal"/>
    <w:link w:val="FooterChar"/>
    <w:uiPriority w:val="99"/>
    <w:unhideWhenUsed/>
    <w:rsid w:val="007F2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81"/>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F87B85"/>
  </w:style>
  <w:style w:type="character" w:styleId="Hyperlink">
    <w:name w:val="Hyperlink"/>
    <w:basedOn w:val="DefaultParagraphFont"/>
    <w:uiPriority w:val="99"/>
    <w:unhideWhenUsed/>
    <w:rsid w:val="00096DAE"/>
    <w:rPr>
      <w:color w:val="0563C1" w:themeColor="hyperlink"/>
      <w:u w:val="single"/>
    </w:rPr>
  </w:style>
  <w:style w:type="character" w:styleId="UnresolvedMention">
    <w:name w:val="Unresolved Mention"/>
    <w:basedOn w:val="DefaultParagraphFont"/>
    <w:uiPriority w:val="99"/>
    <w:semiHidden/>
    <w:unhideWhenUsed/>
    <w:rsid w:val="0009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669">
      <w:bodyDiv w:val="1"/>
      <w:marLeft w:val="0"/>
      <w:marRight w:val="0"/>
      <w:marTop w:val="0"/>
      <w:marBottom w:val="0"/>
      <w:divBdr>
        <w:top w:val="none" w:sz="0" w:space="0" w:color="auto"/>
        <w:left w:val="none" w:sz="0" w:space="0" w:color="auto"/>
        <w:bottom w:val="none" w:sz="0" w:space="0" w:color="auto"/>
        <w:right w:val="none" w:sz="0" w:space="0" w:color="auto"/>
      </w:divBdr>
    </w:div>
    <w:div w:id="2904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bettercarefundteam@nhs.net" TargetMode="External"/><Relationship Id="rId5" Type="http://schemas.openxmlformats.org/officeDocument/2006/relationships/styles" Target="styles.xml"/><Relationship Id="rId10" Type="http://schemas.openxmlformats.org/officeDocument/2006/relationships/hyperlink" Target="https://resolution.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9B35E70C2C446905E2F81BB25AE11" ma:contentTypeVersion="7" ma:contentTypeDescription="Create a new document." ma:contentTypeScope="" ma:versionID="6a796bff4fe0388f7b23d8d324f2a7ee">
  <xsd:schema xmlns:xsd="http://www.w3.org/2001/XMLSchema" xmlns:xs="http://www.w3.org/2001/XMLSchema" xmlns:p="http://schemas.microsoft.com/office/2006/metadata/properties" xmlns:ns3="1e8ec1aa-f243-468e-9b17-26bc494473b9" xmlns:ns4="6e0ee4ac-5e36-4e5c-b20d-75968c6e51b1" targetNamespace="http://schemas.microsoft.com/office/2006/metadata/properties" ma:root="true" ma:fieldsID="c7fbf465de0fd16d27cb0ffed9d97c07" ns3:_="" ns4:_="">
    <xsd:import namespace="1e8ec1aa-f243-468e-9b17-26bc494473b9"/>
    <xsd:import namespace="6e0ee4ac-5e36-4e5c-b20d-75968c6e51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ec1aa-f243-468e-9b17-26bc49447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ee4ac-5e36-4e5c-b20d-75968c6e51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FAEA6-0F65-4A1B-9D5D-ED6CC79F0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24B55-71E4-4F1F-BD75-81626C537DED}">
  <ds:schemaRefs>
    <ds:schemaRef ds:uri="http://schemas.microsoft.com/sharepoint/v3/contenttype/forms"/>
  </ds:schemaRefs>
</ds:datastoreItem>
</file>

<file path=customXml/itemProps3.xml><?xml version="1.0" encoding="utf-8"?>
<ds:datastoreItem xmlns:ds="http://schemas.openxmlformats.org/officeDocument/2006/customXml" ds:itemID="{8AA4801F-0862-487F-8AC3-E5F88D3F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ec1aa-f243-468e-9b17-26bc494473b9"/>
    <ds:schemaRef ds:uri="6e0ee4ac-5e36-4e5c-b20d-75968c6e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Links>
    <vt:vector size="6" baseType="variant">
      <vt:variant>
        <vt:i4>7077901</vt:i4>
      </vt:variant>
      <vt:variant>
        <vt:i4>0</vt:i4>
      </vt:variant>
      <vt:variant>
        <vt:i4>0</vt:i4>
      </vt:variant>
      <vt:variant>
        <vt:i4>5</vt:i4>
      </vt:variant>
      <vt:variant>
        <vt:lpwstr>mailto:england.bettercarefund@nhs.net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Mark</dc:creator>
  <cp:keywords/>
  <dc:description/>
  <cp:lastModifiedBy>Browne, Mark</cp:lastModifiedBy>
  <cp:revision>12</cp:revision>
  <dcterms:created xsi:type="dcterms:W3CDTF">2021-01-20T15:26:00Z</dcterms:created>
  <dcterms:modified xsi:type="dcterms:W3CDTF">2021-01-20T15:34:00Z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0x0101009B29B35E70C2C446905E2F81BB25AE11</vt:lpwstr>
  </property>
</Properties>
</file>