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21" w:type="pct"/>
        <w:jc w:val="center"/>
        <w:tblCellSpacing w:w="0" w:type="dxa"/>
        <w:tblCellMar>
          <w:left w:w="0" w:type="dxa"/>
          <w:right w:w="0" w:type="dxa"/>
        </w:tblCellMar>
        <w:tblLook w:val="04A0" w:firstRow="1" w:lastRow="0" w:firstColumn="1" w:lastColumn="0" w:noHBand="0" w:noVBand="1"/>
      </w:tblPr>
      <w:tblGrid>
        <w:gridCol w:w="9000"/>
      </w:tblGrid>
      <w:tr w:rsidR="003764CB" w14:paraId="53C1938A" w14:textId="77777777" w:rsidTr="00013D5E">
        <w:trPr>
          <w:tblCellSpacing w:w="0" w:type="dxa"/>
          <w:jc w:val="center"/>
        </w:trPr>
        <w:tc>
          <w:tcPr>
            <w:tcW w:w="5000" w:type="pct"/>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764CB" w14:paraId="24616F7B" w14:textId="77777777">
              <w:trPr>
                <w:jc w:val="center"/>
              </w:trPr>
              <w:tc>
                <w:tcPr>
                  <w:tcW w:w="0" w:type="auto"/>
                  <w:hideMark/>
                </w:tcPr>
                <w:tbl>
                  <w:tblPr>
                    <w:tblpPr w:vertAnchor="text"/>
                    <w:tblW w:w="9000" w:type="dxa"/>
                    <w:tblCellMar>
                      <w:left w:w="0" w:type="dxa"/>
                      <w:right w:w="0" w:type="dxa"/>
                    </w:tblCellMar>
                    <w:tblLook w:val="04A0" w:firstRow="1" w:lastRow="0" w:firstColumn="1" w:lastColumn="0" w:noHBand="0" w:noVBand="1"/>
                  </w:tblPr>
                  <w:tblGrid>
                    <w:gridCol w:w="6120"/>
                    <w:gridCol w:w="2880"/>
                  </w:tblGrid>
                  <w:tr w:rsidR="003764CB" w14:paraId="5EBB989C" w14:textId="77777777">
                    <w:tc>
                      <w:tcPr>
                        <w:tcW w:w="3400" w:type="pct"/>
                        <w:hideMark/>
                      </w:tcPr>
                      <w:tbl>
                        <w:tblPr>
                          <w:tblpPr w:vertAnchor="text"/>
                          <w:tblW w:w="5000" w:type="pct"/>
                          <w:tblCellMar>
                            <w:left w:w="0" w:type="dxa"/>
                            <w:right w:w="0" w:type="dxa"/>
                          </w:tblCellMar>
                          <w:tblLook w:val="04A0" w:firstRow="1" w:lastRow="0" w:firstColumn="1" w:lastColumn="0" w:noHBand="0" w:noVBand="1"/>
                        </w:tblPr>
                        <w:tblGrid>
                          <w:gridCol w:w="6120"/>
                        </w:tblGrid>
                        <w:tr w:rsidR="003764CB" w14:paraId="1557841C" w14:textId="77777777">
                          <w:tc>
                            <w:tcPr>
                              <w:tcW w:w="5000" w:type="pct"/>
                              <w:hideMark/>
                            </w:tcPr>
                            <w:p w14:paraId="0474F13E" w14:textId="66E3A6BC" w:rsidR="003764CB" w:rsidRDefault="003764CB">
                              <w:pPr>
                                <w:rPr>
                                  <w:rFonts w:eastAsia="Times New Roman"/>
                                </w:rPr>
                              </w:pPr>
                              <w:r>
                                <w:rPr>
                                  <w:rFonts w:eastAsia="Times New Roman"/>
                                  <w:noProof/>
                                </w:rPr>
                                <w:drawing>
                                  <wp:inline distT="0" distB="0" distL="0" distR="0" wp14:anchorId="2429EE86" wp14:editId="045FB65C">
                                    <wp:extent cx="1675130" cy="380365"/>
                                    <wp:effectExtent l="0" t="0" r="1270" b="635"/>
                                    <wp:docPr id="6" name="Picture 6" descr="care quali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 quality commis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5130" cy="380365"/>
                                            </a:xfrm>
                                            <a:prstGeom prst="rect">
                                              <a:avLst/>
                                            </a:prstGeom>
                                            <a:noFill/>
                                            <a:ln>
                                              <a:noFill/>
                                            </a:ln>
                                          </pic:spPr>
                                        </pic:pic>
                                      </a:graphicData>
                                    </a:graphic>
                                  </wp:inline>
                                </w:drawing>
                              </w:r>
                            </w:p>
                          </w:tc>
                        </w:tr>
                      </w:tbl>
                      <w:p w14:paraId="5973DC92" w14:textId="77777777" w:rsidR="003764CB" w:rsidRDefault="003764CB">
                        <w:pPr>
                          <w:rPr>
                            <w:rFonts w:ascii="Times New Roman" w:eastAsia="Times New Roman" w:hAnsi="Times New Roman" w:cs="Times New Roman"/>
                            <w:sz w:val="20"/>
                            <w:szCs w:val="20"/>
                          </w:rPr>
                        </w:pPr>
                      </w:p>
                    </w:tc>
                    <w:tc>
                      <w:tcPr>
                        <w:tcW w:w="1600" w:type="pct"/>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2880"/>
                        </w:tblGrid>
                        <w:tr w:rsidR="003764CB" w14:paraId="070E1FF3" w14:textId="77777777">
                          <w:tc>
                            <w:tcPr>
                              <w:tcW w:w="5000" w:type="pct"/>
                              <w:tcMar>
                                <w:top w:w="150" w:type="dxa"/>
                                <w:left w:w="150" w:type="dxa"/>
                                <w:bottom w:w="150" w:type="dxa"/>
                                <w:right w:w="150" w:type="dxa"/>
                              </w:tcMar>
                              <w:hideMark/>
                            </w:tcPr>
                            <w:p w14:paraId="4CE1A1EF" w14:textId="77777777" w:rsidR="003764CB" w:rsidRDefault="003764CB">
                              <w:pPr>
                                <w:pStyle w:val="gdp"/>
                                <w:spacing w:before="0" w:beforeAutospacing="0" w:after="0" w:afterAutospacing="0"/>
                                <w:jc w:val="right"/>
                                <w:rPr>
                                  <w:rFonts w:ascii="Arial" w:hAnsi="Arial" w:cs="Arial"/>
                                  <w:color w:val="666666"/>
                                  <w:sz w:val="15"/>
                                  <w:szCs w:val="15"/>
                                </w:rPr>
                              </w:pPr>
                              <w:r>
                                <w:rPr>
                                  <w:rFonts w:ascii="Arial" w:hAnsi="Arial" w:cs="Arial"/>
                                  <w:color w:val="666666"/>
                                  <w:sz w:val="15"/>
                                  <w:szCs w:val="15"/>
                                </w:rPr>
                                <w:t>The independent regulator of health and social care in England</w:t>
                              </w:r>
                            </w:p>
                          </w:tc>
                        </w:tr>
                      </w:tbl>
                      <w:p w14:paraId="43EC63C0" w14:textId="77777777" w:rsidR="003764CB" w:rsidRDefault="003764CB">
                        <w:pPr>
                          <w:rPr>
                            <w:rFonts w:ascii="Times New Roman" w:eastAsia="Times New Roman" w:hAnsi="Times New Roman" w:cs="Times New Roman"/>
                            <w:sz w:val="20"/>
                            <w:szCs w:val="20"/>
                          </w:rPr>
                        </w:pPr>
                      </w:p>
                    </w:tc>
                  </w:tr>
                </w:tbl>
                <w:p w14:paraId="5DDA8D09" w14:textId="77777777" w:rsidR="003764CB" w:rsidRDefault="003764CB">
                  <w:pPr>
                    <w:rPr>
                      <w:rFonts w:ascii="Times New Roman" w:eastAsia="Times New Roman" w:hAnsi="Times New Roman" w:cs="Times New Roman"/>
                      <w:sz w:val="20"/>
                      <w:szCs w:val="20"/>
                    </w:rPr>
                  </w:pPr>
                </w:p>
              </w:tc>
            </w:tr>
            <w:tr w:rsidR="003764CB" w14:paraId="6222B129" w14:textId="77777777">
              <w:trPr>
                <w:jc w:val="center"/>
              </w:trPr>
              <w:tc>
                <w:tcPr>
                  <w:tcW w:w="0" w:type="auto"/>
                  <w:tcMar>
                    <w:top w:w="0" w:type="dxa"/>
                    <w:left w:w="0" w:type="dxa"/>
                    <w:bottom w:w="15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764CB" w14:paraId="6A67B7F0" w14:textId="77777777">
                    <w:trPr>
                      <w:jc w:val="center"/>
                    </w:trPr>
                    <w:tc>
                      <w:tcPr>
                        <w:tcW w:w="5000" w:type="pct"/>
                        <w:shd w:val="clear" w:color="auto" w:fill="002062"/>
                        <w:tcMar>
                          <w:top w:w="300" w:type="dxa"/>
                          <w:left w:w="300" w:type="dxa"/>
                          <w:bottom w:w="300" w:type="dxa"/>
                          <w:right w:w="300" w:type="dxa"/>
                        </w:tcMar>
                        <w:vAlign w:val="center"/>
                        <w:hideMark/>
                      </w:tcPr>
                      <w:p w14:paraId="48FE9A06" w14:textId="77777777" w:rsidR="003764CB" w:rsidRDefault="003764CB">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Capacity Tracker and daily CQC home care COVID-19 impact update – Upcoming changes</w:t>
                        </w:r>
                      </w:p>
                    </w:tc>
                  </w:tr>
                </w:tbl>
                <w:p w14:paraId="28085146" w14:textId="77777777" w:rsidR="003764CB" w:rsidRDefault="003764CB">
                  <w:pPr>
                    <w:jc w:val="center"/>
                    <w:rPr>
                      <w:rFonts w:ascii="Times New Roman" w:eastAsia="Times New Roman" w:hAnsi="Times New Roman" w:cs="Times New Roman"/>
                      <w:sz w:val="20"/>
                      <w:szCs w:val="20"/>
                    </w:rPr>
                  </w:pPr>
                </w:p>
              </w:tc>
            </w:tr>
            <w:tr w:rsidR="003764CB" w14:paraId="4497C703" w14:textId="77777777">
              <w:trPr>
                <w:jc w:val="center"/>
              </w:trPr>
              <w:tc>
                <w:tcPr>
                  <w:tcW w:w="0" w:type="auto"/>
                  <w:shd w:val="clear" w:color="auto" w:fill="16A7F5"/>
                  <w:vAlign w:val="center"/>
                  <w:hideMark/>
                </w:tcPr>
                <w:tbl>
                  <w:tblPr>
                    <w:tblW w:w="0" w:type="auto"/>
                    <w:jc w:val="center"/>
                    <w:tblCellMar>
                      <w:left w:w="0" w:type="dxa"/>
                      <w:right w:w="0" w:type="dxa"/>
                    </w:tblCellMar>
                    <w:tblLook w:val="04A0" w:firstRow="1" w:lastRow="0" w:firstColumn="1" w:lastColumn="0" w:noHBand="0" w:noVBand="1"/>
                  </w:tblPr>
                  <w:tblGrid>
                    <w:gridCol w:w="8984"/>
                  </w:tblGrid>
                  <w:tr w:rsidR="003764CB" w14:paraId="7E5F1DED" w14:textId="77777777">
                    <w:trPr>
                      <w:jc w:val="center"/>
                    </w:trPr>
                    <w:tc>
                      <w:tcPr>
                        <w:tcW w:w="0" w:type="auto"/>
                        <w:tcBorders>
                          <w:top w:val="single" w:sz="6" w:space="0" w:color="002062"/>
                          <w:left w:val="single" w:sz="6" w:space="0" w:color="002062"/>
                          <w:bottom w:val="single" w:sz="6" w:space="0" w:color="002062"/>
                          <w:right w:val="single" w:sz="6" w:space="0" w:color="002062"/>
                        </w:tcBorders>
                        <w:shd w:val="clear" w:color="auto" w:fill="C4CFE9"/>
                        <w:tcMar>
                          <w:top w:w="300" w:type="dxa"/>
                          <w:left w:w="300" w:type="dxa"/>
                          <w:bottom w:w="300" w:type="dxa"/>
                          <w:right w:w="300" w:type="dxa"/>
                        </w:tcMar>
                        <w:vAlign w:val="center"/>
                        <w:hideMark/>
                      </w:tcPr>
                      <w:p w14:paraId="67F35DB7" w14:textId="77777777" w:rsidR="003764CB" w:rsidRDefault="003764CB">
                        <w:pPr>
                          <w:pStyle w:val="Heading1"/>
                          <w:spacing w:before="0" w:beforeAutospacing="0" w:after="150" w:afterAutospacing="0"/>
                          <w:jc w:val="both"/>
                          <w:rPr>
                            <w:rFonts w:ascii="Arial" w:eastAsia="Times New Roman" w:hAnsi="Arial" w:cs="Arial"/>
                            <w:color w:val="002061"/>
                            <w:sz w:val="30"/>
                            <w:szCs w:val="30"/>
                          </w:rPr>
                        </w:pPr>
                        <w:r>
                          <w:rPr>
                            <w:rFonts w:ascii="Arial" w:eastAsia="Times New Roman" w:hAnsi="Arial" w:cs="Arial"/>
                            <w:color w:val="002061"/>
                            <w:sz w:val="30"/>
                            <w:szCs w:val="30"/>
                          </w:rPr>
                          <w:t>This message is being shared with you by CQC on behalf of the Department of Health &amp; Social Care</w:t>
                        </w:r>
                      </w:p>
                    </w:tc>
                  </w:tr>
                </w:tbl>
                <w:p w14:paraId="220C153F" w14:textId="77777777" w:rsidR="003764CB" w:rsidRDefault="003764CB">
                  <w:pPr>
                    <w:jc w:val="center"/>
                    <w:rPr>
                      <w:rFonts w:ascii="Times New Roman" w:eastAsia="Times New Roman" w:hAnsi="Times New Roman" w:cs="Times New Roman"/>
                      <w:sz w:val="20"/>
                      <w:szCs w:val="20"/>
                    </w:rPr>
                  </w:pPr>
                </w:p>
              </w:tc>
            </w:tr>
            <w:tr w:rsidR="003764CB" w14:paraId="075397AD"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764CB" w14:paraId="73D4364F" w14:textId="77777777">
                    <w:trPr>
                      <w:jc w:val="center"/>
                    </w:trPr>
                    <w:tc>
                      <w:tcPr>
                        <w:tcW w:w="5000" w:type="pct"/>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3764CB" w14:paraId="681A61B9" w14:textId="77777777">
                          <w:tc>
                            <w:tcPr>
                              <w:tcW w:w="0" w:type="auto"/>
                              <w:vAlign w:val="center"/>
                              <w:hideMark/>
                            </w:tcPr>
                            <w:p w14:paraId="0DBA8F9D" w14:textId="21448F27" w:rsidR="003764CB" w:rsidRDefault="003764CB">
                              <w:pPr>
                                <w:pStyle w:val="NormalWeb"/>
                                <w:spacing w:before="0" w:beforeAutospacing="0" w:after="150" w:afterAutospacing="0"/>
                                <w:rPr>
                                  <w:rFonts w:ascii="Arial" w:hAnsi="Arial" w:cs="Arial"/>
                                  <w:color w:val="444444"/>
                                  <w:sz w:val="20"/>
                                  <w:szCs w:val="20"/>
                                </w:rPr>
                              </w:pPr>
                              <w:r>
                                <w:rPr>
                                  <w:noProof/>
                                </w:rPr>
                                <w:drawing>
                                  <wp:anchor distT="0" distB="0" distL="44450" distR="44450" simplePos="0" relativeHeight="251658240" behindDoc="0" locked="0" layoutInCell="1" allowOverlap="0" wp14:anchorId="647629AE" wp14:editId="2A7D3AC6">
                                    <wp:simplePos x="0" y="0"/>
                                    <wp:positionH relativeFrom="column">
                                      <wp:align>right</wp:align>
                                    </wp:positionH>
                                    <wp:positionV relativeFrom="line">
                                      <wp:posOffset>0</wp:posOffset>
                                    </wp:positionV>
                                    <wp:extent cx="1962150" cy="1638300"/>
                                    <wp:effectExtent l="0" t="0" r="0" b="0"/>
                                    <wp:wrapSquare wrapText="bothSides"/>
                                    <wp:docPr id="7" name="Picture 7" descr="DH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C"/>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62150" cy="16383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0"/>
                                  <w:szCs w:val="20"/>
                                </w:rPr>
                                <w:t>Imminent transfer of the daily COVID-19 impact update from CQC to Capacity Tracker</w:t>
                              </w:r>
                            </w:p>
                            <w:p w14:paraId="4924457D" w14:textId="77777777" w:rsidR="003764CB" w:rsidRDefault="003764CB">
                              <w:pPr>
                                <w:pStyle w:val="NormalWeb"/>
                                <w:spacing w:before="0" w:beforeAutospacing="0" w:after="150" w:afterAutospacing="0"/>
                                <w:rPr>
                                  <w:rFonts w:ascii="Arial" w:hAnsi="Arial" w:cs="Arial"/>
                                  <w:color w:val="444444"/>
                                  <w:sz w:val="20"/>
                                  <w:szCs w:val="20"/>
                                </w:rPr>
                              </w:pPr>
                              <w:r>
                                <w:rPr>
                                  <w:rStyle w:val="Strong"/>
                                  <w:rFonts w:ascii="Arial" w:hAnsi="Arial" w:cs="Arial"/>
                                  <w:color w:val="444444"/>
                                  <w:sz w:val="20"/>
                                  <w:szCs w:val="20"/>
                                </w:rPr>
                                <w:t>Important update for providers of:</w:t>
                              </w:r>
                            </w:p>
                            <w:p w14:paraId="0F8AA2E1" w14:textId="77777777" w:rsidR="003764CB" w:rsidRDefault="003764CB" w:rsidP="00B54024">
                              <w:pPr>
                                <w:numPr>
                                  <w:ilvl w:val="0"/>
                                  <w:numId w:val="1"/>
                                </w:numPr>
                                <w:spacing w:after="105"/>
                                <w:rPr>
                                  <w:rFonts w:ascii="Arial" w:eastAsia="Times New Roman" w:hAnsi="Arial" w:cs="Arial"/>
                                  <w:color w:val="444444"/>
                                  <w:sz w:val="20"/>
                                  <w:szCs w:val="20"/>
                                </w:rPr>
                              </w:pPr>
                              <w:r>
                                <w:rPr>
                                  <w:rStyle w:val="Strong"/>
                                  <w:rFonts w:ascii="Arial" w:eastAsia="Times New Roman" w:hAnsi="Arial" w:cs="Arial"/>
                                  <w:color w:val="444444"/>
                                  <w:sz w:val="20"/>
                                  <w:szCs w:val="20"/>
                                </w:rPr>
                                <w:t>domiciliary care services</w:t>
                              </w:r>
                            </w:p>
                            <w:p w14:paraId="54975CBE" w14:textId="77777777" w:rsidR="003764CB" w:rsidRDefault="003764CB" w:rsidP="00B54024">
                              <w:pPr>
                                <w:numPr>
                                  <w:ilvl w:val="0"/>
                                  <w:numId w:val="1"/>
                                </w:numPr>
                                <w:spacing w:after="105"/>
                                <w:rPr>
                                  <w:rFonts w:ascii="Arial" w:eastAsia="Times New Roman" w:hAnsi="Arial" w:cs="Arial"/>
                                  <w:color w:val="444444"/>
                                  <w:sz w:val="20"/>
                                  <w:szCs w:val="20"/>
                                </w:rPr>
                              </w:pPr>
                              <w:r>
                                <w:rPr>
                                  <w:rStyle w:val="Strong"/>
                                  <w:rFonts w:ascii="Arial" w:eastAsia="Times New Roman" w:hAnsi="Arial" w:cs="Arial"/>
                                  <w:color w:val="444444"/>
                                  <w:sz w:val="20"/>
                                  <w:szCs w:val="20"/>
                                </w:rPr>
                                <w:t>extra care housing schemes</w:t>
                              </w:r>
                            </w:p>
                            <w:p w14:paraId="4DCDB80B" w14:textId="77777777" w:rsidR="003764CB" w:rsidRDefault="003764CB" w:rsidP="00B54024">
                              <w:pPr>
                                <w:numPr>
                                  <w:ilvl w:val="0"/>
                                  <w:numId w:val="1"/>
                                </w:numPr>
                                <w:spacing w:after="105"/>
                                <w:rPr>
                                  <w:rFonts w:ascii="Arial" w:eastAsia="Times New Roman" w:hAnsi="Arial" w:cs="Arial"/>
                                  <w:color w:val="444444"/>
                                  <w:sz w:val="20"/>
                                  <w:szCs w:val="20"/>
                                </w:rPr>
                              </w:pPr>
                              <w:r>
                                <w:rPr>
                                  <w:rStyle w:val="Strong"/>
                                  <w:rFonts w:ascii="Arial" w:eastAsia="Times New Roman" w:hAnsi="Arial" w:cs="Arial"/>
                                  <w:color w:val="444444"/>
                                  <w:sz w:val="20"/>
                                  <w:szCs w:val="20"/>
                                </w:rPr>
                                <w:t>supported living schemes</w:t>
                              </w:r>
                            </w:p>
                          </w:tc>
                        </w:tr>
                      </w:tbl>
                      <w:p w14:paraId="5723ED58" w14:textId="77777777" w:rsidR="003764CB" w:rsidRDefault="00013D5E">
                        <w:pPr>
                          <w:jc w:val="center"/>
                          <w:rPr>
                            <w:rFonts w:eastAsia="Times New Roman"/>
                          </w:rPr>
                        </w:pPr>
                        <w:r>
                          <w:rPr>
                            <w:rFonts w:eastAsia="Times New Roman"/>
                          </w:rPr>
                          <w:pict w14:anchorId="77B05D3F">
                            <v:rect id="_x0000_i1053" style="width:451.3pt;height:1pt" o:hralign="center" o:hrstd="t" o:hr="t" fillcolor="#a0a0a0" stroked="f"/>
                          </w:pict>
                        </w:r>
                      </w:p>
                      <w:p w14:paraId="18551B78" w14:textId="77777777" w:rsidR="003764CB" w:rsidRDefault="003764CB">
                        <w:pPr>
                          <w:pStyle w:val="Heading2"/>
                          <w:spacing w:before="0" w:beforeAutospacing="0" w:after="150" w:afterAutospacing="0"/>
                          <w:rPr>
                            <w:rFonts w:ascii="Arial" w:eastAsia="Times New Roman" w:hAnsi="Arial" w:cs="Arial"/>
                            <w:color w:val="000000"/>
                            <w:sz w:val="30"/>
                            <w:szCs w:val="30"/>
                          </w:rPr>
                        </w:pPr>
                        <w:r>
                          <w:rPr>
                            <w:rStyle w:val="Strong"/>
                            <w:rFonts w:ascii="Arial" w:eastAsia="Times New Roman" w:hAnsi="Arial" w:cs="Arial"/>
                            <w:b/>
                            <w:bCs/>
                            <w:color w:val="000000"/>
                            <w:sz w:val="30"/>
                            <w:szCs w:val="30"/>
                          </w:rPr>
                          <w:t>1. Background to the daily CQC COVID-19 impact update</w:t>
                        </w:r>
                      </w:p>
                      <w:p w14:paraId="140B7D8C" w14:textId="77777777" w:rsidR="003764CB" w:rsidRDefault="003764CB">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The daily COVID-19 impact update was set up to quickly establish reporting on the impact of COVID-19 on domiciliary care services, extra care housing schemes, supported living schemes.</w:t>
                        </w:r>
                      </w:p>
                      <w:p w14:paraId="17DC2B1E" w14:textId="77777777" w:rsidR="003764CB" w:rsidRDefault="003764CB">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At the time it was preferable for speed of implementation and for the sector if the survey came from CQC, as CQC already collected info from these providers for regulatory purposes.</w:t>
                        </w:r>
                      </w:p>
                      <w:p w14:paraId="746EEDC5" w14:textId="77777777" w:rsidR="003764CB" w:rsidRDefault="003764CB">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Data collected is used daily by central and local Government for both reporting and decision making.</w:t>
                        </w:r>
                      </w:p>
                      <w:p w14:paraId="5EA49088" w14:textId="77777777" w:rsidR="003764CB" w:rsidRDefault="00013D5E">
                        <w:pPr>
                          <w:jc w:val="center"/>
                          <w:rPr>
                            <w:rFonts w:eastAsia="Times New Roman"/>
                          </w:rPr>
                        </w:pPr>
                        <w:r>
                          <w:rPr>
                            <w:rFonts w:eastAsia="Times New Roman"/>
                          </w:rPr>
                          <w:pict w14:anchorId="43F64088">
                            <v:rect id="_x0000_i1054" style="width:451.3pt;height:1pt" o:hralign="center" o:hrstd="t" o:hr="t" fillcolor="#a0a0a0" stroked="f"/>
                          </w:pict>
                        </w:r>
                      </w:p>
                      <w:p w14:paraId="6A4995E2" w14:textId="77777777" w:rsidR="003764CB" w:rsidRDefault="003764CB">
                        <w:pPr>
                          <w:pStyle w:val="Heading2"/>
                          <w:spacing w:before="0" w:beforeAutospacing="0" w:after="150" w:afterAutospacing="0"/>
                          <w:rPr>
                            <w:rFonts w:ascii="Arial" w:eastAsia="Times New Roman" w:hAnsi="Arial" w:cs="Arial"/>
                            <w:color w:val="000000"/>
                            <w:sz w:val="30"/>
                            <w:szCs w:val="30"/>
                          </w:rPr>
                        </w:pPr>
                        <w:r>
                          <w:rPr>
                            <w:rStyle w:val="Strong"/>
                            <w:rFonts w:ascii="Arial" w:eastAsia="Times New Roman" w:hAnsi="Arial" w:cs="Arial"/>
                            <w:b/>
                            <w:bCs/>
                            <w:color w:val="000000"/>
                            <w:sz w:val="30"/>
                            <w:szCs w:val="30"/>
                          </w:rPr>
                          <w:t>2. Background to the Capacity Tracker</w:t>
                        </w:r>
                      </w:p>
                      <w:p w14:paraId="2407EF32" w14:textId="77777777" w:rsidR="003764CB" w:rsidRDefault="003764CB">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Capacity Tracker (CT) was originally developed by NECS in conjunction with NHS England and the Better Care Fund to enable the system to better manage hospital discharges by identifying available capacity in care homes.</w:t>
                        </w:r>
                      </w:p>
                      <w:p w14:paraId="5F7020D0" w14:textId="77777777" w:rsidR="003764CB" w:rsidRDefault="003764CB">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It was identified as a suitable tool for COVID-19 data collection from residential care providers as it was already in use by multiple care providers (such as Care Homes, Hospices and Community Providers) across English Regions.</w:t>
                        </w:r>
                      </w:p>
                      <w:p w14:paraId="6BA7A89F" w14:textId="77777777" w:rsidR="003764CB" w:rsidRDefault="003764CB">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New sections of the tool were created as part of COVID19 emergency (level 4) response which were initially around PPE and COVID19 and Business continuity workforce, admission status etc. </w:t>
                        </w:r>
                      </w:p>
                      <w:p w14:paraId="19FCCC88" w14:textId="77777777" w:rsidR="003764CB" w:rsidRDefault="003764CB">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Adopting Capacity Tracker as the tool of collecting COVID-19 information was announced in the government’s ‘</w:t>
                        </w:r>
                        <w:hyperlink r:id="rId7" w:history="1">
                          <w:r>
                            <w:rPr>
                              <w:rStyle w:val="Hyperlink"/>
                              <w:rFonts w:ascii="Arial" w:hAnsi="Arial" w:cs="Arial"/>
                              <w:color w:val="0000EE"/>
                              <w:sz w:val="20"/>
                              <w:szCs w:val="20"/>
                            </w:rPr>
                            <w:t>Action Plan</w:t>
                          </w:r>
                        </w:hyperlink>
                        <w:r>
                          <w:rPr>
                            <w:rFonts w:ascii="Arial" w:hAnsi="Arial" w:cs="Arial"/>
                            <w:color w:val="444444"/>
                            <w:sz w:val="20"/>
                            <w:szCs w:val="20"/>
                          </w:rPr>
                          <w:t>’ (15</w:t>
                        </w:r>
                        <w:r>
                          <w:rPr>
                            <w:rFonts w:ascii="Arial" w:hAnsi="Arial" w:cs="Arial"/>
                            <w:color w:val="444444"/>
                            <w:sz w:val="20"/>
                            <w:szCs w:val="20"/>
                            <w:vertAlign w:val="superscript"/>
                          </w:rPr>
                          <w:t>th</w:t>
                        </w:r>
                        <w:r>
                          <w:rPr>
                            <w:rFonts w:ascii="Arial" w:hAnsi="Arial" w:cs="Arial"/>
                            <w:color w:val="444444"/>
                            <w:sz w:val="20"/>
                            <w:szCs w:val="20"/>
                          </w:rPr>
                          <w:t xml:space="preserve"> April) and a </w:t>
                        </w:r>
                        <w:hyperlink r:id="rId8" w:history="1">
                          <w:r>
                            <w:rPr>
                              <w:rStyle w:val="Hyperlink"/>
                              <w:rFonts w:ascii="Arial" w:hAnsi="Arial" w:cs="Arial"/>
                              <w:color w:val="0000EE"/>
                              <w:sz w:val="20"/>
                              <w:szCs w:val="20"/>
                            </w:rPr>
                            <w:t>joint letter</w:t>
                          </w:r>
                        </w:hyperlink>
                        <w:r>
                          <w:rPr>
                            <w:rFonts w:ascii="Arial" w:hAnsi="Arial" w:cs="Arial"/>
                            <w:color w:val="444444"/>
                            <w:sz w:val="20"/>
                            <w:szCs w:val="20"/>
                          </w:rPr>
                          <w:t xml:space="preserve"> (17</w:t>
                        </w:r>
                        <w:r>
                          <w:rPr>
                            <w:rFonts w:ascii="Arial" w:hAnsi="Arial" w:cs="Arial"/>
                            <w:color w:val="444444"/>
                            <w:sz w:val="20"/>
                            <w:szCs w:val="20"/>
                            <w:vertAlign w:val="superscript"/>
                          </w:rPr>
                          <w:t>th</w:t>
                        </w:r>
                        <w:r>
                          <w:rPr>
                            <w:rFonts w:ascii="Arial" w:hAnsi="Arial" w:cs="Arial"/>
                            <w:color w:val="444444"/>
                            <w:sz w:val="20"/>
                            <w:szCs w:val="20"/>
                          </w:rPr>
                          <w:t xml:space="preserve"> April) from DHSC and NHSE&amp;I together with CQC and the Care Provider Alliance.</w:t>
                        </w:r>
                      </w:p>
                      <w:p w14:paraId="123F3F1F" w14:textId="77777777" w:rsidR="003764CB" w:rsidRDefault="003764CB">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lastRenderedPageBreak/>
                          <w:t>Although this tool continues to be called “Capacity Tracker”, it is no longer just used to highlight vacancies in care homes whilst the pandemic continues.</w:t>
                        </w:r>
                      </w:p>
                      <w:p w14:paraId="1F654734" w14:textId="77777777" w:rsidR="003764CB" w:rsidRDefault="00013D5E">
                        <w:pPr>
                          <w:jc w:val="center"/>
                          <w:rPr>
                            <w:rFonts w:eastAsia="Times New Roman"/>
                          </w:rPr>
                        </w:pPr>
                        <w:r>
                          <w:rPr>
                            <w:rFonts w:eastAsia="Times New Roman"/>
                          </w:rPr>
                          <w:pict w14:anchorId="59168AFB">
                            <v:rect id="_x0000_i1055" style="width:451.3pt;height:1pt" o:hralign="center" o:hrstd="t" o:hr="t" fillcolor="#a0a0a0" stroked="f"/>
                          </w:pict>
                        </w:r>
                      </w:p>
                      <w:p w14:paraId="0B695F8C" w14:textId="77777777" w:rsidR="003764CB" w:rsidRDefault="003764CB">
                        <w:pPr>
                          <w:pStyle w:val="Heading2"/>
                          <w:spacing w:before="0" w:beforeAutospacing="0" w:after="150" w:afterAutospacing="0"/>
                          <w:rPr>
                            <w:rFonts w:ascii="Arial" w:eastAsia="Times New Roman" w:hAnsi="Arial" w:cs="Arial"/>
                            <w:color w:val="000000"/>
                            <w:sz w:val="30"/>
                            <w:szCs w:val="30"/>
                          </w:rPr>
                        </w:pPr>
                        <w:r>
                          <w:rPr>
                            <w:rStyle w:val="Strong"/>
                            <w:rFonts w:ascii="Arial" w:eastAsia="Times New Roman" w:hAnsi="Arial" w:cs="Arial"/>
                            <w:b/>
                            <w:bCs/>
                            <w:color w:val="000000"/>
                            <w:sz w:val="30"/>
                            <w:szCs w:val="30"/>
                          </w:rPr>
                          <w:t>3. Transition of the COVID-19 impact questions to a new Capacity Tracker Home Care section</w:t>
                        </w:r>
                      </w:p>
                      <w:p w14:paraId="6483468A" w14:textId="77777777" w:rsidR="003764CB" w:rsidRDefault="003764CB">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To enable a better, more supportive response to and from providers and provide a better user experience, the questions are in the process of being moved to a new section of the Capacity Tracker tool, created to capture and report on this key COVID-19 information.</w:t>
                        </w:r>
                      </w:p>
                      <w:p w14:paraId="1B35FD51" w14:textId="77777777" w:rsidR="003764CB" w:rsidRDefault="003764CB">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This means that from 30</w:t>
                        </w:r>
                        <w:r>
                          <w:rPr>
                            <w:rFonts w:ascii="Arial" w:hAnsi="Arial" w:cs="Arial"/>
                            <w:color w:val="444444"/>
                            <w:sz w:val="20"/>
                            <w:szCs w:val="20"/>
                            <w:vertAlign w:val="superscript"/>
                          </w:rPr>
                          <w:t>th</w:t>
                        </w:r>
                        <w:r>
                          <w:rPr>
                            <w:rFonts w:ascii="Arial" w:hAnsi="Arial" w:cs="Arial"/>
                            <w:color w:val="444444"/>
                            <w:sz w:val="20"/>
                            <w:szCs w:val="20"/>
                          </w:rPr>
                          <w:t xml:space="preserve"> November 2020, domiciliary care services, extra care housing schemes, supported living schemes will report their COVID-19 information through Capacity Tracker.</w:t>
                        </w:r>
                      </w:p>
                      <w:p w14:paraId="0143D676" w14:textId="77777777" w:rsidR="003764CB" w:rsidRDefault="003764CB">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Shared Life service providers do not answer these COVID-19 questions and do not form part of this transition.</w:t>
                        </w:r>
                      </w:p>
                      <w:p w14:paraId="22870BAA" w14:textId="77777777" w:rsidR="003764CB" w:rsidRDefault="00013D5E">
                        <w:pPr>
                          <w:jc w:val="center"/>
                          <w:rPr>
                            <w:rFonts w:eastAsia="Times New Roman"/>
                          </w:rPr>
                        </w:pPr>
                        <w:r>
                          <w:rPr>
                            <w:rFonts w:eastAsia="Times New Roman"/>
                          </w:rPr>
                          <w:pict w14:anchorId="50DE9666">
                            <v:rect id="_x0000_i1056" style="width:451.3pt;height:1pt" o:hralign="center" o:hrstd="t" o:hr="t" fillcolor="#a0a0a0" stroked="f"/>
                          </w:pict>
                        </w:r>
                      </w:p>
                      <w:p w14:paraId="31D74556" w14:textId="77777777" w:rsidR="003764CB" w:rsidRDefault="003764CB">
                        <w:pPr>
                          <w:pStyle w:val="Heading2"/>
                          <w:spacing w:before="0" w:beforeAutospacing="0" w:after="150" w:afterAutospacing="0"/>
                          <w:rPr>
                            <w:rFonts w:ascii="Arial" w:eastAsia="Times New Roman" w:hAnsi="Arial" w:cs="Arial"/>
                            <w:color w:val="000000"/>
                            <w:sz w:val="30"/>
                            <w:szCs w:val="30"/>
                          </w:rPr>
                        </w:pPr>
                        <w:r>
                          <w:rPr>
                            <w:rStyle w:val="Strong"/>
                            <w:rFonts w:ascii="Arial" w:eastAsia="Times New Roman" w:hAnsi="Arial" w:cs="Arial"/>
                            <w:b/>
                            <w:bCs/>
                            <w:color w:val="000000"/>
                            <w:sz w:val="30"/>
                            <w:szCs w:val="30"/>
                          </w:rPr>
                          <w:t>4. Current COVID-19 impact questions transferring to the new Capacity Tracker Home Care section</w:t>
                        </w:r>
                      </w:p>
                      <w:p w14:paraId="2A8BCBA6" w14:textId="71764574" w:rsidR="003764CB" w:rsidRDefault="003764CB">
                        <w:pPr>
                          <w:rPr>
                            <w:rFonts w:eastAsia="Times New Roman"/>
                          </w:rPr>
                        </w:pPr>
                        <w:r>
                          <w:rPr>
                            <w:rFonts w:eastAsia="Times New Roman"/>
                            <w:noProof/>
                          </w:rPr>
                          <w:drawing>
                            <wp:inline distT="0" distB="0" distL="0" distR="0" wp14:anchorId="063CB162" wp14:editId="6FB0ECB8">
                              <wp:extent cx="5713095" cy="4264660"/>
                              <wp:effectExtent l="0" t="0" r="1905" b="0"/>
                              <wp:docPr id="5" name="Picture 5" descr="dh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s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4264660"/>
                                      </a:xfrm>
                                      <a:prstGeom prst="rect">
                                        <a:avLst/>
                                      </a:prstGeom>
                                      <a:noFill/>
                                      <a:ln>
                                        <a:noFill/>
                                      </a:ln>
                                    </pic:spPr>
                                  </pic:pic>
                                </a:graphicData>
                              </a:graphic>
                            </wp:inline>
                          </w:drawing>
                        </w:r>
                      </w:p>
                      <w:p w14:paraId="50106181" w14:textId="77777777" w:rsidR="003764CB" w:rsidRDefault="00013D5E">
                        <w:pPr>
                          <w:jc w:val="center"/>
                          <w:rPr>
                            <w:rFonts w:eastAsia="Times New Roman"/>
                          </w:rPr>
                        </w:pPr>
                        <w:r>
                          <w:rPr>
                            <w:rFonts w:eastAsia="Times New Roman"/>
                          </w:rPr>
                          <w:pict w14:anchorId="616DA669">
                            <v:rect id="_x0000_i1057" style="width:451.3pt;height:1pt" o:hralign="center" o:hrstd="t" o:hr="t" fillcolor="#a0a0a0" stroked="f"/>
                          </w:pict>
                        </w:r>
                      </w:p>
                      <w:p w14:paraId="1F796AEB" w14:textId="77777777" w:rsidR="003764CB" w:rsidRDefault="003764CB">
                        <w:pPr>
                          <w:pStyle w:val="Heading2"/>
                          <w:spacing w:before="0" w:beforeAutospacing="0" w:after="150" w:afterAutospacing="0"/>
                          <w:rPr>
                            <w:rFonts w:ascii="Arial" w:eastAsia="Times New Roman" w:hAnsi="Arial" w:cs="Arial"/>
                            <w:color w:val="000000"/>
                            <w:sz w:val="30"/>
                            <w:szCs w:val="30"/>
                          </w:rPr>
                        </w:pPr>
                        <w:r>
                          <w:rPr>
                            <w:rStyle w:val="Strong"/>
                            <w:rFonts w:ascii="Arial" w:eastAsia="Times New Roman" w:hAnsi="Arial" w:cs="Arial"/>
                            <w:b/>
                            <w:bCs/>
                            <w:color w:val="000000"/>
                            <w:sz w:val="30"/>
                            <w:szCs w:val="30"/>
                          </w:rPr>
                          <w:t>5. Supporting providers through the transition process</w:t>
                        </w:r>
                      </w:p>
                      <w:p w14:paraId="10077B76" w14:textId="77777777" w:rsidR="003764CB" w:rsidRDefault="003764CB">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As part of the transition process we are working on giving providers as much support as possible during this move, including:</w:t>
                        </w:r>
                      </w:p>
                      <w:p w14:paraId="0A18194A" w14:textId="77777777" w:rsidR="003764CB" w:rsidRDefault="003764CB" w:rsidP="00B54024">
                        <w:pPr>
                          <w:numPr>
                            <w:ilvl w:val="0"/>
                            <w:numId w:val="2"/>
                          </w:numPr>
                          <w:spacing w:after="105"/>
                          <w:rPr>
                            <w:rFonts w:ascii="Arial" w:eastAsia="Times New Roman" w:hAnsi="Arial" w:cs="Arial"/>
                            <w:color w:val="444444"/>
                            <w:sz w:val="20"/>
                            <w:szCs w:val="20"/>
                          </w:rPr>
                        </w:pPr>
                        <w:r>
                          <w:rPr>
                            <w:rFonts w:ascii="Arial" w:eastAsia="Times New Roman" w:hAnsi="Arial" w:cs="Arial"/>
                            <w:color w:val="444444"/>
                            <w:sz w:val="20"/>
                            <w:szCs w:val="20"/>
                          </w:rPr>
                          <w:lastRenderedPageBreak/>
                          <w:t>Pre-registering providers on the Capacity Tracker tool, so that the amount of information they need to provide is minimised</w:t>
                        </w:r>
                      </w:p>
                      <w:p w14:paraId="598EE0EE" w14:textId="77777777" w:rsidR="003764CB" w:rsidRDefault="003764CB" w:rsidP="00B54024">
                        <w:pPr>
                          <w:numPr>
                            <w:ilvl w:val="0"/>
                            <w:numId w:val="2"/>
                          </w:numPr>
                          <w:spacing w:after="105"/>
                          <w:rPr>
                            <w:rFonts w:ascii="Arial" w:eastAsia="Times New Roman" w:hAnsi="Arial" w:cs="Arial"/>
                            <w:color w:val="444444"/>
                            <w:sz w:val="20"/>
                            <w:szCs w:val="20"/>
                          </w:rPr>
                        </w:pPr>
                        <w:r>
                          <w:rPr>
                            <w:rFonts w:ascii="Arial" w:eastAsia="Times New Roman" w:hAnsi="Arial" w:cs="Arial"/>
                            <w:color w:val="444444"/>
                            <w:sz w:val="20"/>
                            <w:szCs w:val="20"/>
                          </w:rPr>
                          <w:t>Working directly with care provider representative groups to help us move questions to the Capacity Tracker</w:t>
                        </w:r>
                      </w:p>
                      <w:p w14:paraId="5957FB60" w14:textId="77777777" w:rsidR="003764CB" w:rsidRDefault="003764CB" w:rsidP="00B54024">
                        <w:pPr>
                          <w:numPr>
                            <w:ilvl w:val="0"/>
                            <w:numId w:val="2"/>
                          </w:numPr>
                          <w:spacing w:after="105"/>
                          <w:rPr>
                            <w:rFonts w:ascii="Arial" w:eastAsia="Times New Roman" w:hAnsi="Arial" w:cs="Arial"/>
                            <w:color w:val="444444"/>
                            <w:sz w:val="20"/>
                            <w:szCs w:val="20"/>
                          </w:rPr>
                        </w:pPr>
                        <w:r>
                          <w:rPr>
                            <w:rFonts w:ascii="Arial" w:eastAsia="Times New Roman" w:hAnsi="Arial" w:cs="Arial"/>
                            <w:color w:val="444444"/>
                            <w:sz w:val="20"/>
                            <w:szCs w:val="20"/>
                          </w:rPr>
                          <w:t>Establishing a Support Centre solely to help with the registration process and any initial issues experienced by homecare agencies, extra care housing service providers and supported living service providers</w:t>
                        </w:r>
                      </w:p>
                      <w:p w14:paraId="1F5387D0" w14:textId="77777777" w:rsidR="003764CB" w:rsidRDefault="003764CB" w:rsidP="00B54024">
                        <w:pPr>
                          <w:numPr>
                            <w:ilvl w:val="0"/>
                            <w:numId w:val="2"/>
                          </w:numPr>
                          <w:spacing w:after="105"/>
                          <w:rPr>
                            <w:rFonts w:ascii="Arial" w:eastAsia="Times New Roman" w:hAnsi="Arial" w:cs="Arial"/>
                            <w:color w:val="444444"/>
                            <w:sz w:val="20"/>
                            <w:szCs w:val="20"/>
                          </w:rPr>
                        </w:pPr>
                        <w:r>
                          <w:rPr>
                            <w:rFonts w:ascii="Arial" w:eastAsia="Times New Roman" w:hAnsi="Arial" w:cs="Arial"/>
                            <w:color w:val="444444"/>
                            <w:sz w:val="20"/>
                            <w:szCs w:val="20"/>
                          </w:rPr>
                          <w:t>Engaging with Regional NHSE/I and NECS Leads as well as identifying CCG and Local Authority Capacity Tracker System Champions for more direct assistance</w:t>
                        </w:r>
                      </w:p>
                      <w:p w14:paraId="628E0CA7" w14:textId="77777777" w:rsidR="003764CB" w:rsidRDefault="003764CB" w:rsidP="00B54024">
                        <w:pPr>
                          <w:numPr>
                            <w:ilvl w:val="0"/>
                            <w:numId w:val="2"/>
                          </w:numPr>
                          <w:spacing w:after="105"/>
                          <w:rPr>
                            <w:rFonts w:ascii="Arial" w:eastAsia="Times New Roman" w:hAnsi="Arial" w:cs="Arial"/>
                            <w:color w:val="444444"/>
                            <w:sz w:val="20"/>
                            <w:szCs w:val="20"/>
                          </w:rPr>
                        </w:pPr>
                        <w:r>
                          <w:rPr>
                            <w:rFonts w:ascii="Arial" w:eastAsia="Times New Roman" w:hAnsi="Arial" w:cs="Arial"/>
                            <w:color w:val="444444"/>
                            <w:sz w:val="20"/>
                            <w:szCs w:val="20"/>
                          </w:rPr>
                          <w:t>Providing online learning materials, including guidance and videos from the Help menu of the Capacity Tracker</w:t>
                        </w:r>
                      </w:p>
                      <w:p w14:paraId="7E88578D" w14:textId="77777777" w:rsidR="003764CB" w:rsidRDefault="003764CB" w:rsidP="00B54024">
                        <w:pPr>
                          <w:numPr>
                            <w:ilvl w:val="0"/>
                            <w:numId w:val="2"/>
                          </w:numPr>
                          <w:spacing w:after="105"/>
                          <w:rPr>
                            <w:rFonts w:ascii="Arial" w:eastAsia="Times New Roman" w:hAnsi="Arial" w:cs="Arial"/>
                            <w:color w:val="444444"/>
                            <w:sz w:val="20"/>
                            <w:szCs w:val="20"/>
                          </w:rPr>
                        </w:pPr>
                        <w:r>
                          <w:rPr>
                            <w:rFonts w:ascii="Arial" w:eastAsia="Times New Roman" w:hAnsi="Arial" w:cs="Arial"/>
                            <w:color w:val="444444"/>
                            <w:sz w:val="20"/>
                            <w:szCs w:val="20"/>
                          </w:rPr>
                          <w:t>Ensuring there are no changes to the questions</w:t>
                        </w:r>
                      </w:p>
                      <w:p w14:paraId="4F93CA36" w14:textId="77777777" w:rsidR="003764CB" w:rsidRDefault="003764CB" w:rsidP="00B54024">
                        <w:pPr>
                          <w:numPr>
                            <w:ilvl w:val="0"/>
                            <w:numId w:val="2"/>
                          </w:numPr>
                          <w:spacing w:after="105"/>
                          <w:rPr>
                            <w:rFonts w:ascii="Arial" w:eastAsia="Times New Roman" w:hAnsi="Arial" w:cs="Arial"/>
                            <w:color w:val="444444"/>
                            <w:sz w:val="20"/>
                            <w:szCs w:val="20"/>
                          </w:rPr>
                        </w:pPr>
                        <w:r>
                          <w:rPr>
                            <w:rFonts w:ascii="Arial" w:eastAsia="Times New Roman" w:hAnsi="Arial" w:cs="Arial"/>
                            <w:color w:val="444444"/>
                            <w:sz w:val="20"/>
                            <w:szCs w:val="20"/>
                          </w:rPr>
                          <w:t>If you are already registered as a Capacity Tracker user against another provider type such as a community care or care home care provider, your access will be amended to include the separate home care section. This will contain the COVID-19 impact questions. The questions asked to provider types are different, so it is important that you answer each section on behalf of each provider type on their corresponding page on Capacity Tracker.</w:t>
                        </w:r>
                      </w:p>
                      <w:p w14:paraId="73C15B8C" w14:textId="77777777" w:rsidR="003764CB" w:rsidRDefault="00013D5E">
                        <w:pPr>
                          <w:jc w:val="center"/>
                          <w:rPr>
                            <w:rFonts w:eastAsia="Times New Roman"/>
                          </w:rPr>
                        </w:pPr>
                        <w:r>
                          <w:rPr>
                            <w:rFonts w:eastAsia="Times New Roman"/>
                          </w:rPr>
                          <w:pict w14:anchorId="4695F19F">
                            <v:rect id="_x0000_i1058" style="width:451.3pt;height:1pt" o:hralign="center" o:hrstd="t" o:hr="t" fillcolor="#a0a0a0" stroked="f"/>
                          </w:pict>
                        </w:r>
                      </w:p>
                      <w:p w14:paraId="5BE1F335" w14:textId="77777777" w:rsidR="003764CB" w:rsidRDefault="003764CB">
                        <w:pPr>
                          <w:pStyle w:val="Heading2"/>
                          <w:spacing w:before="0" w:beforeAutospacing="0" w:after="150" w:afterAutospacing="0"/>
                          <w:rPr>
                            <w:rFonts w:ascii="Arial" w:eastAsia="Times New Roman" w:hAnsi="Arial" w:cs="Arial"/>
                            <w:color w:val="000000"/>
                            <w:sz w:val="30"/>
                            <w:szCs w:val="30"/>
                          </w:rPr>
                        </w:pPr>
                        <w:r>
                          <w:rPr>
                            <w:rStyle w:val="Strong"/>
                            <w:rFonts w:ascii="Arial" w:eastAsia="Times New Roman" w:hAnsi="Arial" w:cs="Arial"/>
                            <w:b/>
                            <w:bCs/>
                            <w:color w:val="000000"/>
                            <w:sz w:val="30"/>
                            <w:szCs w:val="30"/>
                          </w:rPr>
                          <w:t xml:space="preserve">6. What you will see and when you need to </w:t>
                        </w:r>
                        <w:proofErr w:type="gramStart"/>
                        <w:r>
                          <w:rPr>
                            <w:rStyle w:val="Strong"/>
                            <w:rFonts w:ascii="Arial" w:eastAsia="Times New Roman" w:hAnsi="Arial" w:cs="Arial"/>
                            <w:b/>
                            <w:bCs/>
                            <w:color w:val="000000"/>
                            <w:sz w:val="30"/>
                            <w:szCs w:val="30"/>
                          </w:rPr>
                          <w:t>take action</w:t>
                        </w:r>
                        <w:proofErr w:type="gramEnd"/>
                      </w:p>
                      <w:p w14:paraId="063C2115" w14:textId="77777777" w:rsidR="003764CB" w:rsidRDefault="003764CB" w:rsidP="00B54024">
                        <w:pPr>
                          <w:numPr>
                            <w:ilvl w:val="0"/>
                            <w:numId w:val="3"/>
                          </w:numPr>
                          <w:spacing w:after="105"/>
                          <w:rPr>
                            <w:rFonts w:ascii="Arial" w:eastAsia="Times New Roman" w:hAnsi="Arial" w:cs="Arial"/>
                            <w:color w:val="444444"/>
                            <w:sz w:val="20"/>
                            <w:szCs w:val="20"/>
                          </w:rPr>
                        </w:pPr>
                        <w:r>
                          <w:rPr>
                            <w:rFonts w:ascii="Arial" w:eastAsia="Times New Roman" w:hAnsi="Arial" w:cs="Arial"/>
                            <w:color w:val="444444"/>
                            <w:sz w:val="20"/>
                            <w:szCs w:val="20"/>
                          </w:rPr>
                          <w:t>From Wednesday 25/11/2020 your regular daily email from CQC will start informing you of the upcoming change</w:t>
                        </w:r>
                      </w:p>
                      <w:p w14:paraId="4BCDDA86" w14:textId="77777777" w:rsidR="003764CB" w:rsidRDefault="003764CB" w:rsidP="00B54024">
                        <w:pPr>
                          <w:numPr>
                            <w:ilvl w:val="0"/>
                            <w:numId w:val="3"/>
                          </w:numPr>
                          <w:spacing w:after="105"/>
                          <w:rPr>
                            <w:rFonts w:ascii="Arial" w:eastAsia="Times New Roman" w:hAnsi="Arial" w:cs="Arial"/>
                            <w:color w:val="444444"/>
                            <w:sz w:val="20"/>
                            <w:szCs w:val="20"/>
                          </w:rPr>
                        </w:pPr>
                        <w:r>
                          <w:rPr>
                            <w:rFonts w:ascii="Arial" w:eastAsia="Times New Roman" w:hAnsi="Arial" w:cs="Arial"/>
                            <w:color w:val="444444"/>
                            <w:sz w:val="20"/>
                            <w:szCs w:val="20"/>
                          </w:rPr>
                          <w:t>On Friday 27/11/2020 you will receive your final email from CQC</w:t>
                        </w:r>
                      </w:p>
                      <w:p w14:paraId="334533DA" w14:textId="77777777" w:rsidR="003764CB" w:rsidRDefault="003764CB" w:rsidP="00B54024">
                        <w:pPr>
                          <w:numPr>
                            <w:ilvl w:val="0"/>
                            <w:numId w:val="3"/>
                          </w:numPr>
                          <w:spacing w:after="105"/>
                          <w:rPr>
                            <w:rFonts w:ascii="Arial" w:eastAsia="Times New Roman" w:hAnsi="Arial" w:cs="Arial"/>
                            <w:color w:val="444444"/>
                            <w:sz w:val="20"/>
                            <w:szCs w:val="20"/>
                          </w:rPr>
                        </w:pPr>
                        <w:r>
                          <w:rPr>
                            <w:rFonts w:ascii="Arial" w:eastAsia="Times New Roman" w:hAnsi="Arial" w:cs="Arial"/>
                            <w:color w:val="444444"/>
                            <w:sz w:val="20"/>
                            <w:szCs w:val="20"/>
                          </w:rPr>
                          <w:t>On Monday 30/11/2020 you will receive an email invite from the Capacity Tracker team, asking you to confirm your registration on the Capacity Tracker tool, or an email confirming you are already registered and now have access to the home care screens.</w:t>
                        </w:r>
                      </w:p>
                      <w:p w14:paraId="00E2FEA0" w14:textId="77777777" w:rsidR="003764CB" w:rsidRDefault="003764CB" w:rsidP="00B54024">
                        <w:pPr>
                          <w:numPr>
                            <w:ilvl w:val="0"/>
                            <w:numId w:val="3"/>
                          </w:numPr>
                          <w:spacing w:after="105"/>
                          <w:rPr>
                            <w:rFonts w:ascii="Arial" w:eastAsia="Times New Roman" w:hAnsi="Arial" w:cs="Arial"/>
                            <w:color w:val="444444"/>
                            <w:sz w:val="20"/>
                            <w:szCs w:val="20"/>
                          </w:rPr>
                        </w:pPr>
                        <w:r>
                          <w:rPr>
                            <w:rFonts w:ascii="Arial" w:eastAsia="Times New Roman" w:hAnsi="Arial" w:cs="Arial"/>
                            <w:color w:val="444444"/>
                            <w:sz w:val="20"/>
                            <w:szCs w:val="20"/>
                          </w:rPr>
                          <w:t>Users who do not receive an email (please check email junk folders), by 02/12/20, can register manually.</w:t>
                        </w:r>
                      </w:p>
                      <w:p w14:paraId="1F4EFE18" w14:textId="77777777" w:rsidR="003764CB" w:rsidRDefault="003764CB" w:rsidP="00B54024">
                        <w:pPr>
                          <w:numPr>
                            <w:ilvl w:val="0"/>
                            <w:numId w:val="3"/>
                          </w:numPr>
                          <w:spacing w:after="105"/>
                          <w:rPr>
                            <w:rFonts w:ascii="Arial" w:eastAsia="Times New Roman" w:hAnsi="Arial" w:cs="Arial"/>
                            <w:color w:val="444444"/>
                            <w:sz w:val="20"/>
                            <w:szCs w:val="20"/>
                          </w:rPr>
                        </w:pPr>
                        <w:r>
                          <w:rPr>
                            <w:rFonts w:ascii="Arial" w:eastAsia="Times New Roman" w:hAnsi="Arial" w:cs="Arial"/>
                            <w:color w:val="444444"/>
                            <w:sz w:val="20"/>
                            <w:szCs w:val="20"/>
                          </w:rPr>
                          <w:t>Once your access is confirmed you can immediately complete the questions</w:t>
                        </w:r>
                      </w:p>
                      <w:p w14:paraId="34769A84" w14:textId="77777777" w:rsidR="003764CB" w:rsidRDefault="003764CB" w:rsidP="00B54024">
                        <w:pPr>
                          <w:numPr>
                            <w:ilvl w:val="0"/>
                            <w:numId w:val="3"/>
                          </w:numPr>
                          <w:spacing w:after="105"/>
                          <w:rPr>
                            <w:rFonts w:ascii="Arial" w:eastAsia="Times New Roman" w:hAnsi="Arial" w:cs="Arial"/>
                            <w:color w:val="444444"/>
                            <w:sz w:val="20"/>
                            <w:szCs w:val="20"/>
                          </w:rPr>
                        </w:pPr>
                        <w:r>
                          <w:rPr>
                            <w:rFonts w:ascii="Arial" w:eastAsia="Times New Roman" w:hAnsi="Arial" w:cs="Arial"/>
                            <w:color w:val="444444"/>
                            <w:sz w:val="20"/>
                            <w:szCs w:val="20"/>
                          </w:rPr>
                          <w:t>If you try to submit responses using the CQC link, this will not be successful, and you will be directed to the Capacity Tracker tool</w:t>
                        </w:r>
                      </w:p>
                      <w:p w14:paraId="451276FB" w14:textId="77777777" w:rsidR="003764CB" w:rsidRDefault="00013D5E">
                        <w:pPr>
                          <w:jc w:val="center"/>
                          <w:rPr>
                            <w:rFonts w:eastAsia="Times New Roman"/>
                          </w:rPr>
                        </w:pPr>
                        <w:r>
                          <w:rPr>
                            <w:rFonts w:eastAsia="Times New Roman"/>
                          </w:rPr>
                          <w:pict w14:anchorId="016334B0">
                            <v:rect id="_x0000_i1059" style="width:451.3pt;height:1pt" o:hralign="center" o:hrstd="t" o:hr="t" fillcolor="#a0a0a0" stroked="f"/>
                          </w:pict>
                        </w:r>
                      </w:p>
                      <w:p w14:paraId="706B6624" w14:textId="77777777" w:rsidR="003764CB" w:rsidRDefault="003764CB">
                        <w:pPr>
                          <w:pStyle w:val="Heading2"/>
                          <w:spacing w:before="0" w:beforeAutospacing="0" w:after="150" w:afterAutospacing="0"/>
                          <w:rPr>
                            <w:rFonts w:ascii="Arial" w:eastAsia="Times New Roman" w:hAnsi="Arial" w:cs="Arial"/>
                            <w:color w:val="000000"/>
                            <w:sz w:val="30"/>
                            <w:szCs w:val="30"/>
                          </w:rPr>
                        </w:pPr>
                        <w:r>
                          <w:rPr>
                            <w:rStyle w:val="Strong"/>
                            <w:rFonts w:ascii="Arial" w:eastAsia="Times New Roman" w:hAnsi="Arial" w:cs="Arial"/>
                            <w:b/>
                            <w:bCs/>
                            <w:color w:val="000000"/>
                            <w:sz w:val="30"/>
                            <w:szCs w:val="30"/>
                          </w:rPr>
                          <w:t>7. Infection Control Fund</w:t>
                        </w:r>
                      </w:p>
                      <w:p w14:paraId="633A6B43" w14:textId="77777777" w:rsidR="003764CB" w:rsidRDefault="003764CB">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After the transition has completed and providers are used to using the Capacity Tracker, some new questions related to the Infection Control Fund will be added.</w:t>
                        </w:r>
                      </w:p>
                      <w:p w14:paraId="5331D0AA" w14:textId="77777777" w:rsidR="003764CB" w:rsidRDefault="003764CB">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These questions will be finalised in full collaboration with provider representatives.</w:t>
                        </w:r>
                      </w:p>
                      <w:p w14:paraId="391EF61B" w14:textId="77777777" w:rsidR="003764CB" w:rsidRDefault="003764CB">
                        <w:pPr>
                          <w:pStyle w:val="NormalWeb"/>
                          <w:spacing w:before="0" w:beforeAutospacing="0" w:after="150" w:afterAutospacing="0"/>
                          <w:rPr>
                            <w:rFonts w:ascii="Arial" w:hAnsi="Arial" w:cs="Arial"/>
                            <w:color w:val="444444"/>
                            <w:sz w:val="20"/>
                            <w:szCs w:val="20"/>
                          </w:rPr>
                        </w:pPr>
                        <w:r>
                          <w:rPr>
                            <w:rStyle w:val="Strong"/>
                            <w:rFonts w:ascii="Arial" w:hAnsi="Arial" w:cs="Arial"/>
                            <w:color w:val="444444"/>
                            <w:sz w:val="20"/>
                            <w:szCs w:val="20"/>
                          </w:rPr>
                          <w:t>Thank you for everyone’s really hard work so far in submitting their information through the daily COVID-19 impact update. Rest assured all the information you provide is reviewed daily and used to support collective planning across the health and social care sector to swiftly resolve issues wherever possible, whether through local or national actions.</w:t>
                        </w:r>
                      </w:p>
                    </w:tc>
                  </w:tr>
                </w:tbl>
                <w:p w14:paraId="2F345FFF" w14:textId="77777777" w:rsidR="003764CB" w:rsidRDefault="003764CB">
                  <w:pPr>
                    <w:jc w:val="center"/>
                    <w:rPr>
                      <w:rFonts w:ascii="Times New Roman" w:eastAsia="Times New Roman" w:hAnsi="Times New Roman" w:cs="Times New Roman"/>
                      <w:sz w:val="20"/>
                      <w:szCs w:val="20"/>
                    </w:rPr>
                  </w:pPr>
                </w:p>
              </w:tc>
            </w:tr>
          </w:tbl>
          <w:p w14:paraId="2CEE79C0" w14:textId="77777777" w:rsidR="003764CB" w:rsidRDefault="003764CB">
            <w:pPr>
              <w:jc w:val="center"/>
              <w:rPr>
                <w:rFonts w:ascii="Times New Roman" w:eastAsia="Times New Roman" w:hAnsi="Times New Roman" w:cs="Times New Roman"/>
                <w:sz w:val="20"/>
                <w:szCs w:val="20"/>
              </w:rPr>
            </w:pPr>
          </w:p>
        </w:tc>
      </w:tr>
    </w:tbl>
    <w:p w14:paraId="4445F857" w14:textId="77777777" w:rsidR="003764CB" w:rsidRDefault="003764CB" w:rsidP="003764CB">
      <w:pPr>
        <w:rPr>
          <w:rFonts w:eastAsia="Times New Roman"/>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3764CB" w14:paraId="34C4476D" w14:textId="77777777" w:rsidTr="003764CB">
        <w:trPr>
          <w:trHeight w:val="3945"/>
          <w:jc w:val="center"/>
        </w:trPr>
        <w:tc>
          <w:tcPr>
            <w:tcW w:w="0" w:type="auto"/>
            <w:vAlign w:val="center"/>
            <w:hideMark/>
          </w:tcPr>
          <w:tbl>
            <w:tblPr>
              <w:tblW w:w="9000" w:type="dxa"/>
              <w:jc w:val="center"/>
              <w:shd w:val="clear" w:color="auto" w:fill="002062"/>
              <w:tblCellMar>
                <w:left w:w="0" w:type="dxa"/>
                <w:right w:w="0" w:type="dxa"/>
              </w:tblCellMar>
              <w:tblLook w:val="04A0" w:firstRow="1" w:lastRow="0" w:firstColumn="1" w:lastColumn="0" w:noHBand="0" w:noVBand="1"/>
            </w:tblPr>
            <w:tblGrid>
              <w:gridCol w:w="9000"/>
            </w:tblGrid>
            <w:tr w:rsidR="003764CB" w14:paraId="1353B7B7" w14:textId="77777777">
              <w:trPr>
                <w:jc w:val="center"/>
              </w:trPr>
              <w:tc>
                <w:tcPr>
                  <w:tcW w:w="0" w:type="auto"/>
                  <w:shd w:val="clear" w:color="auto" w:fill="C4CFE9"/>
                  <w:hideMark/>
                </w:tcPr>
                <w:p w14:paraId="4B54E7F6" w14:textId="16B9F3CE" w:rsidR="003764CB" w:rsidRDefault="003764CB">
                  <w:pPr>
                    <w:rPr>
                      <w:rFonts w:eastAsia="Times New Roman"/>
                    </w:rPr>
                  </w:pPr>
                  <w:r>
                    <w:rPr>
                      <w:rFonts w:eastAsia="Times New Roman"/>
                      <w:noProof/>
                    </w:rPr>
                    <w:lastRenderedPageBreak/>
                    <w:drawing>
                      <wp:inline distT="0" distB="0" distL="0" distR="0" wp14:anchorId="55E8E1D5" wp14:editId="03E58207">
                        <wp:extent cx="1799590" cy="541020"/>
                        <wp:effectExtent l="0" t="0" r="0" b="0"/>
                        <wp:docPr id="4" name="Picture 4" descr="Twitter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 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590" cy="541020"/>
                                </a:xfrm>
                                <a:prstGeom prst="rect">
                                  <a:avLst/>
                                </a:prstGeom>
                                <a:noFill/>
                                <a:ln>
                                  <a:noFill/>
                                </a:ln>
                              </pic:spPr>
                            </pic:pic>
                          </a:graphicData>
                        </a:graphic>
                      </wp:inline>
                    </w:drawing>
                  </w:r>
                  <w:r>
                    <w:rPr>
                      <w:rFonts w:eastAsia="Times New Roman"/>
                      <w:noProof/>
                      <w:color w:val="1D5782"/>
                    </w:rPr>
                    <w:drawing>
                      <wp:inline distT="0" distB="0" distL="0" distR="0" wp14:anchorId="622C946D" wp14:editId="382CC2AA">
                        <wp:extent cx="1184910" cy="541020"/>
                        <wp:effectExtent l="0" t="0" r="0" b="0"/>
                        <wp:docPr id="3" name="Picture 3" descr="facebook">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4910" cy="541020"/>
                                </a:xfrm>
                                <a:prstGeom prst="rect">
                                  <a:avLst/>
                                </a:prstGeom>
                                <a:noFill/>
                                <a:ln>
                                  <a:noFill/>
                                </a:ln>
                              </pic:spPr>
                            </pic:pic>
                          </a:graphicData>
                        </a:graphic>
                      </wp:inline>
                    </w:drawing>
                  </w:r>
                  <w:r>
                    <w:rPr>
                      <w:rFonts w:eastAsia="Times New Roman"/>
                      <w:noProof/>
                      <w:color w:val="1D5782"/>
                    </w:rPr>
                    <w:drawing>
                      <wp:inline distT="0" distB="0" distL="0" distR="0" wp14:anchorId="6346FC0D" wp14:editId="7B4B36BC">
                        <wp:extent cx="1192530" cy="541020"/>
                        <wp:effectExtent l="0" t="0" r="0" b="0"/>
                        <wp:docPr id="2" name="Picture 2" descr="twitter">
                          <a:hlinkClick xmlns:a="http://schemas.openxmlformats.org/drawingml/2006/main" r:id="rId13" tgtFrame="_blank"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2530" cy="541020"/>
                                </a:xfrm>
                                <a:prstGeom prst="rect">
                                  <a:avLst/>
                                </a:prstGeom>
                                <a:noFill/>
                                <a:ln>
                                  <a:noFill/>
                                </a:ln>
                              </pic:spPr>
                            </pic:pic>
                          </a:graphicData>
                        </a:graphic>
                      </wp:inline>
                    </w:drawing>
                  </w:r>
                  <w:r>
                    <w:rPr>
                      <w:rFonts w:eastAsia="Times New Roman"/>
                      <w:noProof/>
                      <w:color w:val="1D5782"/>
                    </w:rPr>
                    <w:drawing>
                      <wp:inline distT="0" distB="0" distL="0" distR="0" wp14:anchorId="3540727D" wp14:editId="7377EC11">
                        <wp:extent cx="1184910" cy="541020"/>
                        <wp:effectExtent l="0" t="0" r="0" b="0"/>
                        <wp:docPr id="1" name="Picture 1" descr="youtube">
                          <a:hlinkClick xmlns:a="http://schemas.openxmlformats.org/drawingml/2006/main" r:id="rId15" tgtFrame="_blank"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4910" cy="541020"/>
                                </a:xfrm>
                                <a:prstGeom prst="rect">
                                  <a:avLst/>
                                </a:prstGeom>
                                <a:noFill/>
                                <a:ln>
                                  <a:noFill/>
                                </a:ln>
                              </pic:spPr>
                            </pic:pic>
                          </a:graphicData>
                        </a:graphic>
                      </wp:inline>
                    </w:drawing>
                  </w:r>
                </w:p>
              </w:tc>
            </w:tr>
            <w:tr w:rsidR="003764CB" w14:paraId="548CD094" w14:textId="77777777">
              <w:trPr>
                <w:jc w:val="center"/>
              </w:trPr>
              <w:tc>
                <w:tcPr>
                  <w:tcW w:w="0" w:type="auto"/>
                  <w:shd w:val="clear" w:color="auto" w:fill="002062"/>
                  <w:tcMar>
                    <w:top w:w="300" w:type="dxa"/>
                    <w:left w:w="300" w:type="dxa"/>
                    <w:bottom w:w="30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5040"/>
                    <w:gridCol w:w="3360"/>
                  </w:tblGrid>
                  <w:tr w:rsidR="003764CB" w14:paraId="7A8FDDE5" w14:textId="77777777">
                    <w:trPr>
                      <w:trHeight w:val="1185"/>
                      <w:jc w:val="center"/>
                    </w:trPr>
                    <w:tc>
                      <w:tcPr>
                        <w:tcW w:w="3000" w:type="pct"/>
                        <w:hideMark/>
                      </w:tcPr>
                      <w:tbl>
                        <w:tblPr>
                          <w:tblpPr w:vertAnchor="text"/>
                          <w:tblW w:w="5030" w:type="pct"/>
                          <w:tblCellMar>
                            <w:left w:w="0" w:type="dxa"/>
                            <w:right w:w="0" w:type="dxa"/>
                          </w:tblCellMar>
                          <w:tblLook w:val="04A0" w:firstRow="1" w:lastRow="0" w:firstColumn="1" w:lastColumn="0" w:noHBand="0" w:noVBand="1"/>
                        </w:tblPr>
                        <w:tblGrid>
                          <w:gridCol w:w="5070"/>
                        </w:tblGrid>
                        <w:tr w:rsidR="003764CB" w14:paraId="70BBC01B" w14:textId="77777777">
                          <w:trPr>
                            <w:trHeight w:val="525"/>
                          </w:trPr>
                          <w:tc>
                            <w:tcPr>
                              <w:tcW w:w="5000" w:type="pct"/>
                              <w:hideMark/>
                            </w:tcPr>
                            <w:p w14:paraId="0DBB97D0" w14:textId="77777777" w:rsidR="003764CB" w:rsidRDefault="003764CB">
                              <w:pPr>
                                <w:pStyle w:val="gdp"/>
                                <w:spacing w:before="0" w:beforeAutospacing="0" w:after="0" w:afterAutospacing="0"/>
                                <w:rPr>
                                  <w:rFonts w:ascii="Arial" w:hAnsi="Arial" w:cs="Arial"/>
                                  <w:color w:val="FFFFFF"/>
                                  <w:sz w:val="21"/>
                                  <w:szCs w:val="21"/>
                                </w:rPr>
                              </w:pPr>
                              <w:r>
                                <w:rPr>
                                  <w:rStyle w:val="Strong"/>
                                  <w:rFonts w:ascii="Arial" w:hAnsi="Arial" w:cs="Arial"/>
                                  <w:color w:val="FFFFFF"/>
                                  <w:sz w:val="21"/>
                                  <w:szCs w:val="21"/>
                                </w:rPr>
                                <w:t>We are England's independent health and adult social care regulator.</w:t>
                              </w:r>
                            </w:p>
                          </w:tc>
                        </w:tr>
                        <w:tr w:rsidR="003764CB" w14:paraId="0C95EE2B" w14:textId="77777777">
                          <w:trPr>
                            <w:trHeight w:val="1320"/>
                          </w:trPr>
                          <w:tc>
                            <w:tcPr>
                              <w:tcW w:w="5000" w:type="pct"/>
                              <w:tcMar>
                                <w:top w:w="225" w:type="dxa"/>
                                <w:left w:w="0" w:type="dxa"/>
                                <w:bottom w:w="0" w:type="dxa"/>
                                <w:right w:w="300" w:type="dxa"/>
                              </w:tcMar>
                              <w:hideMark/>
                            </w:tcPr>
                            <w:p w14:paraId="6DC5B8D4" w14:textId="77777777" w:rsidR="003764CB" w:rsidRDefault="003764CB">
                              <w:pPr>
                                <w:pStyle w:val="gdp"/>
                                <w:spacing w:before="0" w:beforeAutospacing="0" w:after="0" w:afterAutospacing="0"/>
                                <w:rPr>
                                  <w:rFonts w:ascii="Arial" w:hAnsi="Arial" w:cs="Arial"/>
                                  <w:color w:val="FFFFFF"/>
                                  <w:sz w:val="20"/>
                                  <w:szCs w:val="20"/>
                                </w:rPr>
                              </w:pPr>
                              <w:r>
                                <w:rPr>
                                  <w:rFonts w:ascii="Arial" w:hAnsi="Arial" w:cs="Arial"/>
                                  <w:color w:val="FFFFFF"/>
                                  <w:sz w:val="20"/>
                                  <w:szCs w:val="20"/>
                                </w:rPr>
                                <w:t> </w:t>
                              </w:r>
                            </w:p>
                            <w:p w14:paraId="555081F1" w14:textId="77777777" w:rsidR="003764CB" w:rsidRDefault="00013D5E">
                              <w:pPr>
                                <w:pStyle w:val="gdp"/>
                                <w:spacing w:before="0" w:beforeAutospacing="0" w:after="0" w:afterAutospacing="0"/>
                                <w:rPr>
                                  <w:rFonts w:ascii="Arial" w:hAnsi="Arial" w:cs="Arial"/>
                                  <w:color w:val="FFFFFF"/>
                                  <w:sz w:val="20"/>
                                  <w:szCs w:val="20"/>
                                </w:rPr>
                              </w:pPr>
                              <w:hyperlink r:id="rId17" w:tgtFrame="_blank" w:history="1">
                                <w:r w:rsidR="003764CB">
                                  <w:rPr>
                                    <w:rStyle w:val="Strong"/>
                                    <w:rFonts w:ascii="Arial" w:hAnsi="Arial" w:cs="Arial"/>
                                    <w:color w:val="FFFFFF"/>
                                    <w:sz w:val="20"/>
                                    <w:szCs w:val="20"/>
                                  </w:rPr>
                                  <w:t>Join our digital participation platform for providers and professionals to get involved in CQC's work</w:t>
                                </w:r>
                                <w:r w:rsidR="003764CB">
                                  <w:rPr>
                                    <w:rStyle w:val="Hyperlink"/>
                                    <w:rFonts w:ascii="Arial" w:hAnsi="Arial" w:cs="Arial"/>
                                    <w:color w:val="FFFFFF"/>
                                    <w:sz w:val="20"/>
                                    <w:szCs w:val="20"/>
                                  </w:rPr>
                                  <w:t xml:space="preserve"> - help inform policies, take part in discussions and test new products</w:t>
                                </w:r>
                              </w:hyperlink>
                              <w:r w:rsidR="003764CB">
                                <w:rPr>
                                  <w:rFonts w:ascii="Arial" w:hAnsi="Arial" w:cs="Arial"/>
                                  <w:color w:val="FFFFFF"/>
                                  <w:sz w:val="20"/>
                                  <w:szCs w:val="20"/>
                                </w:rPr>
                                <w:t>.</w:t>
                              </w:r>
                            </w:p>
                          </w:tc>
                        </w:tr>
                        <w:tr w:rsidR="003764CB" w14:paraId="6E806DC6" w14:textId="77777777">
                          <w:trPr>
                            <w:trHeight w:val="150"/>
                          </w:trPr>
                          <w:tc>
                            <w:tcPr>
                              <w:tcW w:w="5000" w:type="pct"/>
                              <w:tcMar>
                                <w:top w:w="225" w:type="dxa"/>
                                <w:left w:w="0" w:type="dxa"/>
                                <w:bottom w:w="0" w:type="dxa"/>
                                <w:right w:w="300" w:type="dxa"/>
                              </w:tcMar>
                              <w:hideMark/>
                            </w:tcPr>
                            <w:p w14:paraId="6EDEA582" w14:textId="77777777" w:rsidR="003764CB" w:rsidRDefault="003764CB">
                              <w:pPr>
                                <w:pStyle w:val="gdp"/>
                                <w:spacing w:before="0" w:beforeAutospacing="0" w:after="0" w:afterAutospacing="0"/>
                                <w:rPr>
                                  <w:rFonts w:ascii="Arial" w:hAnsi="Arial" w:cs="Arial"/>
                                  <w:color w:val="FFFFFF"/>
                                  <w:sz w:val="20"/>
                                  <w:szCs w:val="20"/>
                                </w:rPr>
                              </w:pPr>
                              <w:r>
                                <w:rPr>
                                  <w:rFonts w:ascii="Arial" w:hAnsi="Arial" w:cs="Arial"/>
                                  <w:color w:val="FFFFFF"/>
                                  <w:sz w:val="20"/>
                                  <w:szCs w:val="20"/>
                                </w:rPr>
                                <w:t> </w:t>
                              </w:r>
                            </w:p>
                          </w:tc>
                        </w:tr>
                      </w:tbl>
                      <w:p w14:paraId="50004761" w14:textId="77777777" w:rsidR="003764CB" w:rsidRDefault="003764CB">
                        <w:pPr>
                          <w:rPr>
                            <w:rFonts w:ascii="Times New Roman" w:eastAsia="Times New Roman" w:hAnsi="Times New Roman" w:cs="Times New Roman"/>
                            <w:sz w:val="20"/>
                            <w:szCs w:val="20"/>
                          </w:rPr>
                        </w:pPr>
                      </w:p>
                    </w:tc>
                    <w:tc>
                      <w:tcPr>
                        <w:tcW w:w="2000" w:type="pct"/>
                        <w:hideMark/>
                      </w:tcPr>
                      <w:tbl>
                        <w:tblPr>
                          <w:tblpPr w:vertAnchor="text"/>
                          <w:tblW w:w="5000" w:type="pct"/>
                          <w:tblCellMar>
                            <w:left w:w="0" w:type="dxa"/>
                            <w:right w:w="0" w:type="dxa"/>
                          </w:tblCellMar>
                          <w:tblLook w:val="04A0" w:firstRow="1" w:lastRow="0" w:firstColumn="1" w:lastColumn="0" w:noHBand="0" w:noVBand="1"/>
                        </w:tblPr>
                        <w:tblGrid>
                          <w:gridCol w:w="3360"/>
                        </w:tblGrid>
                        <w:tr w:rsidR="003764CB" w14:paraId="03B6372A" w14:textId="77777777">
                          <w:trPr>
                            <w:trHeight w:val="495"/>
                          </w:trPr>
                          <w:tc>
                            <w:tcPr>
                              <w:tcW w:w="5000" w:type="pct"/>
                              <w:tcMar>
                                <w:top w:w="0" w:type="dxa"/>
                                <w:left w:w="300" w:type="dxa"/>
                                <w:bottom w:w="0" w:type="dxa"/>
                                <w:right w:w="0" w:type="dxa"/>
                              </w:tcMar>
                              <w:hideMark/>
                            </w:tcPr>
                            <w:p w14:paraId="35BF3738" w14:textId="77777777" w:rsidR="003764CB" w:rsidRDefault="00013D5E">
                              <w:pPr>
                                <w:pStyle w:val="gdp"/>
                                <w:spacing w:before="0" w:beforeAutospacing="0" w:after="0" w:afterAutospacing="0"/>
                                <w:rPr>
                                  <w:rFonts w:ascii="Arial" w:hAnsi="Arial" w:cs="Arial"/>
                                  <w:color w:val="FFFFFF"/>
                                  <w:sz w:val="20"/>
                                  <w:szCs w:val="20"/>
                                </w:rPr>
                              </w:pPr>
                              <w:hyperlink r:id="rId18" w:history="1">
                                <w:r w:rsidR="003764CB">
                                  <w:rPr>
                                    <w:rStyle w:val="Strong"/>
                                    <w:rFonts w:ascii="Arial" w:hAnsi="Arial" w:cs="Arial"/>
                                    <w:color w:val="FFFFFF"/>
                                    <w:sz w:val="20"/>
                                    <w:szCs w:val="20"/>
                                  </w:rPr>
                                  <w:t xml:space="preserve">Problems viewing this </w:t>
                                </w:r>
                                <w:proofErr w:type="gramStart"/>
                                <w:r w:rsidR="003764CB">
                                  <w:rPr>
                                    <w:rStyle w:val="Strong"/>
                                    <w:rFonts w:ascii="Arial" w:hAnsi="Arial" w:cs="Arial"/>
                                    <w:color w:val="FFFFFF"/>
                                    <w:sz w:val="20"/>
                                    <w:szCs w:val="20"/>
                                  </w:rPr>
                                  <w:t>email?</w:t>
                                </w:r>
                                <w:proofErr w:type="gramEnd"/>
                                <w:r w:rsidR="003764CB">
                                  <w:rPr>
                                    <w:rStyle w:val="Strong"/>
                                    <w:rFonts w:ascii="Arial" w:hAnsi="Arial" w:cs="Arial"/>
                                    <w:color w:val="FFFFFF"/>
                                    <w:sz w:val="20"/>
                                    <w:szCs w:val="20"/>
                                  </w:rPr>
                                  <w:t xml:space="preserve"> Click here to view online.</w:t>
                                </w:r>
                              </w:hyperlink>
                            </w:p>
                          </w:tc>
                        </w:tr>
                        <w:tr w:rsidR="003764CB" w14:paraId="3BC2FABB" w14:textId="77777777">
                          <w:trPr>
                            <w:trHeight w:val="150"/>
                          </w:trPr>
                          <w:tc>
                            <w:tcPr>
                              <w:tcW w:w="5000" w:type="pct"/>
                              <w:tcMar>
                                <w:top w:w="225" w:type="dxa"/>
                                <w:left w:w="300" w:type="dxa"/>
                                <w:bottom w:w="0" w:type="dxa"/>
                                <w:right w:w="0" w:type="dxa"/>
                              </w:tcMar>
                              <w:hideMark/>
                            </w:tcPr>
                            <w:p w14:paraId="006EF53E" w14:textId="77777777" w:rsidR="003764CB" w:rsidRDefault="00013D5E">
                              <w:pPr>
                                <w:rPr>
                                  <w:rFonts w:eastAsia="Times New Roman"/>
                                </w:rPr>
                              </w:pPr>
                              <w:hyperlink r:id="rId19" w:history="1">
                                <w:r w:rsidR="003764CB">
                                  <w:rPr>
                                    <w:rStyle w:val="Hyperlink"/>
                                    <w:rFonts w:ascii="Arial" w:eastAsia="Times New Roman" w:hAnsi="Arial" w:cs="Arial"/>
                                    <w:color w:val="FFFFFF"/>
                                    <w:sz w:val="20"/>
                                    <w:szCs w:val="20"/>
                                  </w:rPr>
                                  <w:t>Find out more about our work</w:t>
                                </w:r>
                              </w:hyperlink>
                            </w:p>
                          </w:tc>
                        </w:tr>
                        <w:tr w:rsidR="003764CB" w14:paraId="6B843B91" w14:textId="77777777">
                          <w:trPr>
                            <w:trHeight w:val="150"/>
                          </w:trPr>
                          <w:tc>
                            <w:tcPr>
                              <w:tcW w:w="5000" w:type="pct"/>
                              <w:tcMar>
                                <w:top w:w="225" w:type="dxa"/>
                                <w:left w:w="300" w:type="dxa"/>
                                <w:bottom w:w="0" w:type="dxa"/>
                                <w:right w:w="0" w:type="dxa"/>
                              </w:tcMar>
                              <w:hideMark/>
                            </w:tcPr>
                            <w:p w14:paraId="42199C0B" w14:textId="77777777" w:rsidR="003764CB" w:rsidRDefault="00013D5E">
                              <w:pPr>
                                <w:pStyle w:val="gdp"/>
                                <w:spacing w:before="0" w:beforeAutospacing="0" w:after="0" w:afterAutospacing="0"/>
                                <w:rPr>
                                  <w:rFonts w:ascii="Arial" w:hAnsi="Arial" w:cs="Arial"/>
                                  <w:color w:val="FFFFFF"/>
                                  <w:sz w:val="20"/>
                                  <w:szCs w:val="20"/>
                                </w:rPr>
                              </w:pPr>
                              <w:hyperlink r:id="rId20" w:history="1">
                                <w:r w:rsidR="003764CB">
                                  <w:rPr>
                                    <w:rStyle w:val="Hyperlink"/>
                                    <w:rFonts w:ascii="Arial" w:hAnsi="Arial" w:cs="Arial"/>
                                    <w:color w:val="FFFFFF"/>
                                    <w:sz w:val="20"/>
                                    <w:szCs w:val="20"/>
                                  </w:rPr>
                                  <w:t>Contact us</w:t>
                                </w:r>
                              </w:hyperlink>
                            </w:p>
                          </w:tc>
                        </w:tr>
                        <w:tr w:rsidR="003764CB" w14:paraId="2D64D2F0" w14:textId="77777777">
                          <w:trPr>
                            <w:trHeight w:val="195"/>
                          </w:trPr>
                          <w:tc>
                            <w:tcPr>
                              <w:tcW w:w="5000" w:type="pct"/>
                              <w:tcMar>
                                <w:top w:w="225" w:type="dxa"/>
                                <w:left w:w="300" w:type="dxa"/>
                                <w:bottom w:w="0" w:type="dxa"/>
                                <w:right w:w="0" w:type="dxa"/>
                              </w:tcMar>
                              <w:hideMark/>
                            </w:tcPr>
                            <w:p w14:paraId="4AEE2741" w14:textId="00F6B631" w:rsidR="003764CB" w:rsidRDefault="00013D5E">
                              <w:pPr>
                                <w:pStyle w:val="gdp"/>
                                <w:spacing w:before="0" w:beforeAutospacing="0" w:after="0" w:afterAutospacing="0"/>
                                <w:rPr>
                                  <w:rFonts w:ascii="Arial" w:hAnsi="Arial" w:cs="Arial"/>
                                  <w:color w:val="FFFFFF"/>
                                  <w:sz w:val="20"/>
                                  <w:szCs w:val="20"/>
                                </w:rPr>
                              </w:pPr>
                              <w:hyperlink r:id="rId21" w:tgtFrame="_blank" w:history="1">
                                <w:r w:rsidR="003764CB">
                                  <w:rPr>
                                    <w:rStyle w:val="Hyperlink"/>
                                    <w:rFonts w:ascii="Arial" w:hAnsi="Arial" w:cs="Arial"/>
                                    <w:color w:val="FFFFFF"/>
                                    <w:sz w:val="20"/>
                                    <w:szCs w:val="20"/>
                                  </w:rPr>
                                  <w:t>Unsubscribe</w:t>
                                </w:r>
                              </w:hyperlink>
                            </w:p>
                          </w:tc>
                        </w:tr>
                      </w:tbl>
                      <w:p w14:paraId="0FFD115D" w14:textId="77777777" w:rsidR="003764CB" w:rsidRDefault="003764CB">
                        <w:pPr>
                          <w:rPr>
                            <w:rFonts w:ascii="Times New Roman" w:eastAsia="Times New Roman" w:hAnsi="Times New Roman" w:cs="Times New Roman"/>
                            <w:sz w:val="20"/>
                            <w:szCs w:val="20"/>
                          </w:rPr>
                        </w:pPr>
                      </w:p>
                    </w:tc>
                  </w:tr>
                </w:tbl>
                <w:p w14:paraId="7C409479" w14:textId="77777777" w:rsidR="003764CB" w:rsidRDefault="003764CB">
                  <w:pPr>
                    <w:jc w:val="center"/>
                    <w:rPr>
                      <w:rFonts w:ascii="Times New Roman" w:eastAsia="Times New Roman" w:hAnsi="Times New Roman" w:cs="Times New Roman"/>
                      <w:sz w:val="20"/>
                      <w:szCs w:val="20"/>
                    </w:rPr>
                  </w:pPr>
                </w:p>
              </w:tc>
            </w:tr>
          </w:tbl>
          <w:p w14:paraId="392AA9E3" w14:textId="77777777" w:rsidR="003764CB" w:rsidRDefault="003764CB">
            <w:pPr>
              <w:jc w:val="center"/>
              <w:rPr>
                <w:rFonts w:ascii="Times New Roman" w:eastAsia="Times New Roman" w:hAnsi="Times New Roman" w:cs="Times New Roman"/>
                <w:sz w:val="20"/>
                <w:szCs w:val="20"/>
              </w:rPr>
            </w:pPr>
          </w:p>
        </w:tc>
      </w:tr>
    </w:tbl>
    <w:p w14:paraId="68F4F1E5" w14:textId="77777777" w:rsidR="003764CB" w:rsidRDefault="003764CB" w:rsidP="003764CB">
      <w:pPr>
        <w:pStyle w:val="NormalWeb"/>
        <w:rPr>
          <w:lang w:val="en"/>
        </w:rPr>
      </w:pPr>
      <w:r>
        <w:rPr>
          <w:lang w:val="en"/>
        </w:rPr>
        <w:t> </w:t>
      </w:r>
    </w:p>
    <w:p w14:paraId="0BABEF3B" w14:textId="77777777" w:rsidR="009A6BE7" w:rsidRDefault="009A6BE7"/>
    <w:sectPr w:rsidR="009A6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23B09"/>
    <w:multiLevelType w:val="multilevel"/>
    <w:tmpl w:val="0F0ED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A535E9"/>
    <w:multiLevelType w:val="multilevel"/>
    <w:tmpl w:val="B2B2E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AD62A0"/>
    <w:multiLevelType w:val="multilevel"/>
    <w:tmpl w:val="C0B21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CB"/>
    <w:rsid w:val="00013D5E"/>
    <w:rsid w:val="003764CB"/>
    <w:rsid w:val="009A6BE7"/>
    <w:rsid w:val="00F0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E1A0"/>
  <w15:chartTrackingRefBased/>
  <w15:docId w15:val="{D23AF978-B926-4921-B1EB-DFCF37CD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CB"/>
    <w:pPr>
      <w:spacing w:after="0" w:line="240" w:lineRule="auto"/>
    </w:pPr>
    <w:rPr>
      <w:rFonts w:ascii="Calibri" w:hAnsi="Calibri" w:cs="Calibri"/>
      <w:lang w:eastAsia="en-GB"/>
    </w:rPr>
  </w:style>
  <w:style w:type="paragraph" w:styleId="Heading1">
    <w:name w:val="heading 1"/>
    <w:basedOn w:val="Normal"/>
    <w:link w:val="Heading1Char"/>
    <w:uiPriority w:val="9"/>
    <w:qFormat/>
    <w:rsid w:val="003764C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3764C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4CB"/>
    <w:rPr>
      <w:rFonts w:ascii="Calibri"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3764CB"/>
    <w:rPr>
      <w:rFonts w:ascii="Calibri" w:hAnsi="Calibri" w:cs="Calibri"/>
      <w:b/>
      <w:bCs/>
      <w:sz w:val="36"/>
      <w:szCs w:val="36"/>
      <w:lang w:eastAsia="en-GB"/>
    </w:rPr>
  </w:style>
  <w:style w:type="character" w:styleId="Hyperlink">
    <w:name w:val="Hyperlink"/>
    <w:basedOn w:val="DefaultParagraphFont"/>
    <w:uiPriority w:val="99"/>
    <w:semiHidden/>
    <w:unhideWhenUsed/>
    <w:rsid w:val="003764CB"/>
    <w:rPr>
      <w:color w:val="0000FF"/>
      <w:u w:val="single"/>
    </w:rPr>
  </w:style>
  <w:style w:type="paragraph" w:styleId="NormalWeb">
    <w:name w:val="Normal (Web)"/>
    <w:basedOn w:val="Normal"/>
    <w:uiPriority w:val="99"/>
    <w:semiHidden/>
    <w:unhideWhenUsed/>
    <w:rsid w:val="003764CB"/>
    <w:pPr>
      <w:spacing w:before="100" w:beforeAutospacing="1" w:after="100" w:afterAutospacing="1"/>
    </w:pPr>
  </w:style>
  <w:style w:type="paragraph" w:customStyle="1" w:styleId="gdp">
    <w:name w:val="gd_p"/>
    <w:basedOn w:val="Normal"/>
    <w:uiPriority w:val="99"/>
    <w:semiHidden/>
    <w:rsid w:val="003764CB"/>
    <w:pPr>
      <w:spacing w:before="100" w:beforeAutospacing="1" w:after="100" w:afterAutospacing="1"/>
    </w:pPr>
  </w:style>
  <w:style w:type="character" w:styleId="Strong">
    <w:name w:val="Strong"/>
    <w:basedOn w:val="DefaultParagraphFont"/>
    <w:uiPriority w:val="22"/>
    <w:qFormat/>
    <w:rsid w:val="003764CB"/>
    <w:rPr>
      <w:b/>
      <w:bCs/>
    </w:rPr>
  </w:style>
  <w:style w:type="character" w:styleId="FollowedHyperlink">
    <w:name w:val="FollowedHyperlink"/>
    <w:basedOn w:val="DefaultParagraphFont"/>
    <w:uiPriority w:val="99"/>
    <w:semiHidden/>
    <w:unhideWhenUsed/>
    <w:rsid w:val="00013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18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content.govdelivery.com%2Fbulletins%2Fgd%2FUKCQC-286ff51&amp;data=04%7C01%7CJennifer.Charlton%40cqc.org.uk%7C8f049a235a2241fcb23308d89066f4ce%7Ca55dcab8ce6645eaab3f65bc2b07b5d3%7C1%7C0%7C637418119152226639%7CUnknown%7CTWFpbGZsb3d8eyJWIjoiMC4wLjAwMDAiLCJQIjoiV2luMzIiLCJBTiI6Ik1haWwiLCJXVCI6Mn0%3D%7C1000&amp;sdata=pJuVZoKmAzt7xWls2viFTcfYKZssmzm1kDAIBJnisL0%3D&amp;reserved=0" TargetMode="External"/><Relationship Id="rId13" Type="http://schemas.openxmlformats.org/officeDocument/2006/relationships/hyperlink" Target="https://gbr01.safelinks.protection.outlook.com/?url=https%3A%2F%2Ftwitter.com%2FCQCProf&amp;data=04%7C01%7CJennifer.Charlton%40cqc.org.uk%7C8f049a235a2241fcb23308d89066f4ce%7Ca55dcab8ce6645eaab3f65bc2b07b5d3%7C1%7C0%7C637418119152236585%7CUnknown%7CTWFpbGZsb3d8eyJWIjoiMC4wLjAwMDAiLCJQIjoiV2luMzIiLCJBTiI6Ik1haWwiLCJXVCI6Mn0%3D%7C1000&amp;sdata=Etoi71nbd5DUVN2slS2%2BR0%2Bbd94MTN9V9guYBbldKzA%3D&amp;reserved=0" TargetMode="External"/><Relationship Id="rId18" Type="http://schemas.openxmlformats.org/officeDocument/2006/relationships/hyperlink" Target="https://gbr01.safelinks.protection.outlook.com/?url=https%3A%2F%2Fcontent.govdelivery.com%2Faccounts%2FUKCQC%2Fbulletins%2F2ae11a8&amp;data=04%7C01%7CJennifer.Charlton%40cqc.org.uk%7C8f049a235a2241fcb23308d89066f4ce%7Ca55dcab8ce6645eaab3f65bc2b07b5d3%7C1%7C0%7C637418119152246544%7CUnknown%7CTWFpbGZsb3d8eyJWIjoiMC4wLjAwMDAiLCJQIjoiV2luMzIiLCJBTiI6Ik1haWwiLCJXVCI6Mn0%3D%7C1000&amp;sdata=KeZT9XZUH3IzwPN1Eb3GFMqb7EtfCLcC105omKF56T4%3D&amp;reserved=0" TargetMode="External"/><Relationship Id="rId3" Type="http://schemas.openxmlformats.org/officeDocument/2006/relationships/settings" Target="settings.xml"/><Relationship Id="rId21" Type="http://schemas.openxmlformats.org/officeDocument/2006/relationships/hyperlink" Target="file:///C:\Users\JozsefGecsei\AppData\Local\Microsoft\Windows\INetCache\Content.Outlook\W65OZ9UH\%5b%5bONECLICK_UNSUB_URL%5d%5d" TargetMode="External"/><Relationship Id="rId7" Type="http://schemas.openxmlformats.org/officeDocument/2006/relationships/hyperlink" Target="https://gbr01.safelinks.protection.outlook.com/?url=https%3A%2F%2Fwww.gov.uk%2Fgovernment%2Fpublications%2Fcoronavirus-covid-19-adult-social-care-action-plan%2Fcovid-19-our-action-plan-for-adult-social-care&amp;data=04%7C01%7CJennifer.Charlton%40cqc.org.uk%7C8f049a235a2241fcb23308d89066f4ce%7Ca55dcab8ce6645eaab3f65bc2b07b5d3%7C1%7C0%7C637418119152216675%7CUnknown%7CTWFpbGZsb3d8eyJWIjoiMC4wLjAwMDAiLCJQIjoiV2luMzIiLCJBTiI6Ik1haWwiLCJXVCI6Mn0%3D%7C1000&amp;sdata=WthvsLH%2B0Dja5Jw6ry9mDiO4FLmqT565qX6j%2BraA09c%3D&amp;reserved=0" TargetMode="External"/><Relationship Id="rId12" Type="http://schemas.openxmlformats.org/officeDocument/2006/relationships/image" Target="media/image4.png"/><Relationship Id="rId17" Type="http://schemas.openxmlformats.org/officeDocument/2006/relationships/hyperlink" Target="https://gbr01.safelinks.protection.outlook.com/?url=https%3A%2F%2Fcqc.citizenlab.co%2Fen-GB%2F&amp;data=04%7C01%7CJennifer.Charlton%40cqc.org.uk%7C8f049a235a2241fcb23308d89066f4ce%7Ca55dcab8ce6645eaab3f65bc2b07b5d3%7C1%7C0%7C637418119152246544%7CUnknown%7CTWFpbGZsb3d8eyJWIjoiMC4wLjAwMDAiLCJQIjoiV2luMzIiLCJBTiI6Ik1haWwiLCJXVCI6Mn0%3D%7C1000&amp;sdata=u%2BfSb%2BIHkgw7AdDSkJn5WFVhrlb5BMIIjRt1bxczmr4%3D&amp;reserved=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gbr01.safelinks.protection.outlook.com/?url=http%3A%2F%2Fwww.cqc.org.uk%2Fcontent%2Fcontact-us&amp;data=04%7C01%7CJennifer.Charlton%40cqc.org.uk%7C8f049a235a2241fcb23308d89066f4ce%7Ca55dcab8ce6645eaab3f65bc2b07b5d3%7C1%7C0%7C637418119152256499%7CUnknown%7CTWFpbGZsb3d8eyJWIjoiMC4wLjAwMDAiLCJQIjoiV2luMzIiLCJBTiI6Ik1haWwiLCJXVCI6Mn0%3D%7C1000&amp;sdata=1t50TbVCKE1%2BYdfJiAHc8B4iCG2GsZ3eGg%2FEQdtydwI%3D&amp;reserved=0" TargetMode="External"/><Relationship Id="rId1" Type="http://schemas.openxmlformats.org/officeDocument/2006/relationships/numbering" Target="numbering.xml"/><Relationship Id="rId6" Type="http://schemas.openxmlformats.org/officeDocument/2006/relationships/image" Target="https://content.govdelivery.com/attachments/fancy_images/UKCQC/2019/02/2416691/dhsc_original.png" TargetMode="External"/><Relationship Id="rId11" Type="http://schemas.openxmlformats.org/officeDocument/2006/relationships/hyperlink" Target="https://gbr01.safelinks.protection.outlook.com/?url=https%3A%2F%2Fwww.facebook.com%2FCareQualityCommission&amp;data=04%7C01%7CJennifer.Charlton%40cqc.org.uk%7C8f049a235a2241fcb23308d89066f4ce%7Ca55dcab8ce6645eaab3f65bc2b07b5d3%7C1%7C0%7C637418119152226639%7CUnknown%7CTWFpbGZsb3d8eyJWIjoiMC4wLjAwMDAiLCJQIjoiV2luMzIiLCJBTiI6Ik1haWwiLCJXVCI6Mn0%3D%7C1000&amp;sdata=TvMPhSRzq8%2FKv75b87rwD%2BvlojdAqALJzfvGvWUn0HE%3D&amp;reserved=0" TargetMode="External"/><Relationship Id="rId5" Type="http://schemas.openxmlformats.org/officeDocument/2006/relationships/image" Target="media/image1.png"/><Relationship Id="rId15" Type="http://schemas.openxmlformats.org/officeDocument/2006/relationships/hyperlink" Target="https://gbr01.safelinks.protection.outlook.com/?url=http%3A%2F%2Fwww.youtube.com%2Fcqcdigitalcomms&amp;data=04%7C01%7CJennifer.Charlton%40cqc.org.uk%7C8f049a235a2241fcb23308d89066f4ce%7Ca55dcab8ce6645eaab3f65bc2b07b5d3%7C1%7C0%7C637418119152236585%7CUnknown%7CTWFpbGZsb3d8eyJWIjoiMC4wLjAwMDAiLCJQIjoiV2luMzIiLCJBTiI6Ik1haWwiLCJXVCI6Mn0%3D%7C1000&amp;sdata=k%2FylwvqKN5tY8Hpkr%2BFaMX5kK13XVOQmVTzyPJjWi%2F4%3D&amp;reserved=0"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gbr01.safelinks.protection.outlook.com/?url=http%3A%2F%2Fwww.cqc.org.uk%2F&amp;data=04%7C01%7CJennifer.Charlton%40cqc.org.uk%7C8f049a235a2241fcb23308d89066f4ce%7Ca55dcab8ce6645eaab3f65bc2b07b5d3%7C1%7C0%7C637418119152246544%7CUnknown%7CTWFpbGZsb3d8eyJWIjoiMC4wLjAwMDAiLCJQIjoiV2luMzIiLCJBTiI6Ik1haWwiLCJXVCI6Mn0%3D%7C1000&amp;sdata=ypMetYqknm4exInxx2viW4aY9MrQeY4POHJMcaMgM00%3D&amp;reserve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Rutter, Scott</dc:creator>
  <cp:keywords/>
  <dc:description/>
  <cp:lastModifiedBy>Jozsef Gecsei</cp:lastModifiedBy>
  <cp:revision>2</cp:revision>
  <dcterms:created xsi:type="dcterms:W3CDTF">2020-11-30T08:50:00Z</dcterms:created>
  <dcterms:modified xsi:type="dcterms:W3CDTF">2020-11-30T08:50:00Z</dcterms:modified>
</cp:coreProperties>
</file>